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before="600"/>
      </w:pPr>
      <w:r>
        <w:rPr>
          <w:rFonts w:ascii="Helvetica" w:hAnsi="Helvetica" w:cs="Helvetica"/>
          <w:sz w:val="24"/>
          <w:sz-cs w:val="24"/>
        </w:rPr>
        <w:t xml:space="preserve"/>
      </w:r>
    </w:p>
    <w:p>
      <w:pPr>
        <w:jc w:val="center"/>
        <w:spacing w:after="60"/>
      </w:pPr>
      <w:r>
        <w:rPr>
          <w:rFonts w:ascii="Times" w:hAnsi="Times" w:cs="Times"/>
          <w:sz w:val="23"/>
          <w:sz-cs w:val="23"/>
          <w:b/>
        </w:rPr>
        <w:t xml:space="preserve">UNITED STATES PROVISIONAL PATENT APPLICATION</w:t>
      </w:r>
    </w:p>
    <w:p>
      <w:pPr>
        <w:jc w:val="center"/>
        <w:spacing w:after="240"/>
      </w:pPr>
      <w:r>
        <w:rPr>
          <w:rFonts w:ascii="Times" w:hAnsi="Times" w:cs="Times"/>
          <w:sz w:val="20"/>
          <w:sz-cs w:val="20"/>
          <w:i/>
          <w:color w:val="666666"/>
        </w:rPr>
        <w:t xml:space="preserve">Under 35 U.S.C. §111(b)</w:t>
      </w:r>
    </w:p>
    <w:p>
      <w:pPr>
        <w:jc w:val="center"/>
        <w:spacing w:after="40"/>
      </w:pPr>
      <w:r>
        <w:rPr>
          <w:rFonts w:ascii="Times" w:hAnsi="Times" w:cs="Times"/>
          <w:sz w:val="18"/>
          <w:sz-cs w:val="18"/>
          <w:color w:val="888888"/>
        </w:rPr>
        <w:t xml:space="preserve">TITLE OF INVENTION</w:t>
      </w:r>
    </w:p>
    <w:p>
      <w:pPr>
        <w:jc w:val="center"/>
        <w:spacing w:after="200"/>
      </w:pPr>
      <w:r>
        <w:rPr>
          <w:rFonts w:ascii="Times" w:hAnsi="Times" w:cs="Times"/>
          <w:sz w:val="25"/>
          <w:sz-cs w:val="25"/>
          <w:b/>
        </w:rPr>
        <w:t xml:space="preserve">INTELLIGENT REFERRAL COORDINATION PLATFORM WITH PRACTICE-SPECIFIC ADAPTIVE MEMORY AND FAX-BRIDGE NETWORK ACQUISITION</w:t>
      </w:r>
    </w:p>
    <w:p>
      <w:pPr>
        <w:jc w:val="center"/>
        <w:spacing w:after="30"/>
      </w:pPr>
      <w:r>
        <w:rPr>
          <w:rFonts w:ascii="Times" w:hAnsi="Times" w:cs="Times"/>
          <w:sz w:val="18"/>
          <w:sz-cs w:val="18"/>
          <w:color w:val="888888"/>
        </w:rPr>
        <w:t xml:space="preserve">INVENTORS</w:t>
      </w:r>
    </w:p>
    <w:p>
      <w:pPr>
        <w:jc w:val="center"/>
        <w:spacing w:after="20"/>
      </w:pPr>
      <w:r>
        <w:rPr>
          <w:rFonts w:ascii="Times" w:hAnsi="Times" w:cs="Times"/>
          <w:sz w:val="23"/>
          <w:sz-cs w:val="23"/>
          <w:b/>
        </w:rPr>
        <w:t xml:space="preserve">Ravi Suresh  </w:t>
      </w:r>
    </w:p>
    <w:p>
      <w:pPr>
        <w:jc w:val="center"/>
        <w:spacing w:after="160"/>
      </w:pPr>
      <w:r>
        <w:rPr>
          <w:rFonts w:ascii="Times" w:hAnsi="Times" w:cs="Times"/>
          <w:sz w:val="21"/>
          <w:sz-cs w:val="21"/>
          <w:color w:val="555555"/>
        </w:rPr>
        <w:t xml:space="preserve">Tether Health, Inc.</w:t>
      </w:r>
    </w:p>
    <w:p>
      <w:pPr>
        <w:jc w:val="center"/>
        <w:spacing w:after="30"/>
      </w:pPr>
      <w:r>
        <w:rPr>
          <w:rFonts w:ascii="Times" w:hAnsi="Times" w:cs="Times"/>
          <w:sz w:val="18"/>
          <w:sz-cs w:val="18"/>
          <w:color w:val="888888"/>
        </w:rPr>
        <w:t xml:space="preserve">FILING DATE</w:t>
      </w:r>
    </w:p>
    <w:p>
      <w:pPr>
        <w:jc w:val="center"/>
      </w:pPr>
      <w:r>
        <w:rPr>
          <w:rFonts w:ascii="Times" w:hAnsi="Times" w:cs="Times"/>
          <w:sz w:val="23"/>
          <w:sz-cs w:val="23"/>
          <w:b/>
        </w:rPr>
        <w:t xml:space="preserve">March 27, 2026</w:t>
      </w:r>
    </w:p>
    <w:p>
      <w:pPr/>
      <w:r>
        <w:rPr>
          <w:rFonts w:ascii="Times" w:hAnsi="Times" w:cs="Times"/>
          <w:sz w:val="24"/>
          <w:sz-cs w:val="24"/>
        </w:rPr>
        <w:t xml:space="preserve"/>
        <w:br w:type="page"/>
        <w:t xml:space="preserve"/>
      </w:r>
    </w:p>
    <w:p>
      <w:pPr>
        <w:spacing w:before="260" w:after="140"/>
      </w:pPr>
      <w:r>
        <w:rPr>
          <w:rFonts w:ascii="Times New Roman" w:hAnsi="Times New Roman" w:cs="Times New Roman"/>
          <w:sz w:val="27"/>
          <w:sz-cs w:val="27"/>
          <w:b/>
        </w:rPr>
        <w:t xml:space="preserve">TABLE OF CONTENTS</w:t>
      </w:r>
    </w:p>
    <w:p>
      <w:pPr>
        <w:ind w:left="360"/>
        <w:spacing w:after="40"/>
      </w:pPr>
      <w:r>
        <w:rPr>
          <w:rFonts w:ascii="Times" w:hAnsi="Times" w:cs="Times"/>
          <w:sz w:val="22"/>
          <w:sz-cs w:val="22"/>
        </w:rPr>
        <w:t xml:space="preserve">Abstract</w:t>
      </w:r>
      <w:r>
        <w:rPr>
          <w:rFonts w:ascii="Times" w:hAnsi="Times" w:cs="Times"/>
          <w:sz w:val="22"/>
          <w:sz-cs w:val="22"/>
          <w:color w:val="AAAAAA"/>
        </w:rPr>
        <w:t xml:space="preserve"> ............................................................. 2</w:t>
      </w:r>
    </w:p>
    <w:p>
      <w:pPr>
        <w:ind w:left="360"/>
        <w:spacing w:after="40"/>
      </w:pPr>
      <w:r>
        <w:rPr>
          <w:rFonts w:ascii="Times" w:hAnsi="Times" w:cs="Times"/>
          <w:sz w:val="22"/>
          <w:sz-cs w:val="22"/>
        </w:rPr>
        <w:t xml:space="preserve">Field of the Invention</w:t>
      </w:r>
      <w:r>
        <w:rPr>
          <w:rFonts w:ascii="Times" w:hAnsi="Times" w:cs="Times"/>
          <w:sz w:val="22"/>
          <w:sz-cs w:val="22"/>
          <w:color w:val="AAAAAA"/>
        </w:rPr>
        <w:t xml:space="preserve"> ............................................... 2</w:t>
      </w:r>
    </w:p>
    <w:p>
      <w:pPr>
        <w:ind w:left="360"/>
        <w:spacing w:after="40"/>
      </w:pPr>
      <w:r>
        <w:rPr>
          <w:rFonts w:ascii="Times" w:hAnsi="Times" w:cs="Times"/>
          <w:sz w:val="22"/>
          <w:sz-cs w:val="22"/>
        </w:rPr>
        <w:t xml:space="preserve">Background of the Invention</w:t>
      </w:r>
      <w:r>
        <w:rPr>
          <w:rFonts w:ascii="Times" w:hAnsi="Times" w:cs="Times"/>
          <w:sz w:val="22"/>
          <w:sz-cs w:val="22"/>
          <w:color w:val="AAAAAA"/>
        </w:rPr>
        <w:t xml:space="preserve"> .......................................... 2</w:t>
      </w:r>
    </w:p>
    <w:p>
      <w:pPr>
        <w:ind w:left="360"/>
        <w:spacing w:after="40"/>
      </w:pPr>
      <w:r>
        <w:rPr>
          <w:rFonts w:ascii="Times" w:hAnsi="Times" w:cs="Times"/>
          <w:sz w:val="22"/>
          <w:sz-cs w:val="22"/>
        </w:rPr>
        <w:t xml:space="preserve">Summary of the Invention</w:t>
      </w:r>
      <w:r>
        <w:rPr>
          <w:rFonts w:ascii="Times" w:hAnsi="Times" w:cs="Times"/>
          <w:sz w:val="22"/>
          <w:sz-cs w:val="22"/>
          <w:color w:val="AAAAAA"/>
        </w:rPr>
        <w:t xml:space="preserve"> ............................................. 4</w:t>
      </w:r>
    </w:p>
    <w:p>
      <w:pPr>
        <w:ind w:left="360"/>
        <w:spacing w:after="40"/>
      </w:pPr>
      <w:r>
        <w:rPr>
          <w:rFonts w:ascii="Times" w:hAnsi="Times" w:cs="Times"/>
          <w:sz w:val="22"/>
          <w:sz-cs w:val="22"/>
        </w:rPr>
        <w:t xml:space="preserve">Detailed Description of Preferred Embodiments</w:t>
      </w:r>
      <w:r>
        <w:rPr>
          <w:rFonts w:ascii="Times" w:hAnsi="Times" w:cs="Times"/>
          <w:sz w:val="22"/>
          <w:sz-cs w:val="22"/>
          <w:color w:val="AAAAAA"/>
        </w:rPr>
        <w:t xml:space="preserve"> ........................ 7</w:t>
      </w:r>
    </w:p>
    <w:p>
      <w:pPr>
        <w:ind w:left="360"/>
        <w:spacing w:after="40"/>
      </w:pPr>
      <w:r>
        <w:rPr>
          <w:rFonts w:ascii="Times" w:hAnsi="Times" w:cs="Times"/>
          <w:sz w:val="22"/>
          <w:sz-cs w:val="22"/>
        </w:rPr>
        <w:t xml:space="preserve">Claims (Independent: 1–9, Dependent: 10–20)</w:t>
      </w:r>
      <w:r>
        <w:rPr>
          <w:rFonts w:ascii="Times" w:hAnsi="Times" w:cs="Times"/>
          <w:sz w:val="22"/>
          <w:sz-cs w:val="22"/>
          <w:color w:val="AAAAAA"/>
        </w:rPr>
        <w:t xml:space="preserve"> .......................... 9</w:t>
      </w:r>
    </w:p>
    <w:p>
      <w:pPr>
        <w:ind w:left="360"/>
        <w:spacing w:after="40"/>
      </w:pPr>
      <w:r>
        <w:rPr>
          <w:rFonts w:ascii="Times" w:hAnsi="Times" w:cs="Times"/>
          <w:sz w:val="22"/>
          <w:sz-cs w:val="22"/>
        </w:rPr>
        <w:t xml:space="preserve">Brief Description of the Drawings (FIGS. 1–8)</w:t>
      </w:r>
      <w:r>
        <w:rPr>
          <w:rFonts w:ascii="Times" w:hAnsi="Times" w:cs="Times"/>
          <w:sz w:val="22"/>
          <w:sz-cs w:val="22"/>
          <w:color w:val="AAAAAA"/>
        </w:rPr>
        <w:t xml:space="preserve"> ....................... 12</w:t>
      </w:r>
    </w:p>
    <w:p>
      <w:pPr>
        <w:ind w:left="360"/>
        <w:spacing w:after="40"/>
      </w:pPr>
      <w:r>
        <w:rPr>
          <w:rFonts w:ascii="Times" w:hAnsi="Times" w:cs="Times"/>
          <w:sz w:val="22"/>
          <w:sz-cs w:val="22"/>
        </w:rPr>
        <w:t xml:space="preserve">Priority Claim</w:t>
      </w:r>
      <w:r>
        <w:rPr>
          <w:rFonts w:ascii="Times" w:hAnsi="Times" w:cs="Times"/>
          <w:sz w:val="22"/>
          <w:sz-cs w:val="22"/>
          <w:color w:val="AAAAAA"/>
        </w:rPr>
        <w:t xml:space="preserve"> ...................................................... 12</w:t>
      </w:r>
    </w:p>
    <w:p>
      <w:pPr/>
      <w:r>
        <w:rPr>
          <w:rFonts w:ascii="Times" w:hAnsi="Times" w:cs="Times"/>
          <w:sz w:val="24"/>
          <w:sz-cs w:val="24"/>
        </w:rPr>
        <w:t xml:space="preserve"/>
        <w:br w:type="page"/>
        <w:t xml:space="preserve"/>
      </w:r>
    </w:p>
    <w:p>
      <w:pPr>
        <w:spacing w:before="260" w:after="140"/>
      </w:pPr>
      <w:r>
        <w:rPr>
          <w:rFonts w:ascii="Times New Roman" w:hAnsi="Times New Roman" w:cs="Times New Roman"/>
          <w:sz w:val="27"/>
          <w:sz-cs w:val="27"/>
          <w:b/>
        </w:rPr>
        <w:t xml:space="preserve">ABSTRACT</w:t>
      </w:r>
    </w:p>
    <w:p>
      <w:pPr>
        <w:spacing w:after="140"/>
      </w:pPr>
      <w:r>
        <w:rPr>
          <w:rFonts w:ascii="Times" w:hAnsi="Times" w:cs="Times"/>
          <w:sz w:val="23"/>
          <w:sz-cs w:val="23"/>
        </w:rPr>
        <w:t xml:space="preserve">An intelligent healthcare referral coordination platform combining practice-specific adaptive AI memory, fax-bridge digital acquisition, multi-context agent orchestration, and natural language deferred task scheduling. The system maintains isolated, practice-scoped memory stores accumulating intelligence from referral patterns, specialist response times, and loop closure rates. A fax-bridge mechanism transmits referrals via fax while embedding digital claim tokens that convert receiving specialists into platform participants. The platform employs a multi-tool AI agent with dynamically constructed context windows adapting to user role, view context, referral state, and accumulated practice memory. A proactive notification engine analyzes referral state transitions to generate severity-weighted alerts. A conversational referral creation flow enables end-to-end referral submission through natural language with EHR integration, directory search, and insurance verification. A corporate network intelligence layer aggregates data across affiliated practices for executive analytics.</w:t>
      </w:r>
    </w:p>
    <w:p>
      <w:pPr>
        <w:spacing w:before="260" w:after="140"/>
      </w:pPr>
      <w:r>
        <w:rPr>
          <w:rFonts w:ascii="Times New Roman" w:hAnsi="Times New Roman" w:cs="Times New Roman"/>
          <w:sz w:val="27"/>
          <w:sz-cs w:val="27"/>
          <w:b/>
        </w:rPr>
        <w:t xml:space="preserve">FIELD OF THE INVENTION</w:t>
      </w:r>
    </w:p>
    <w:p>
      <w:pPr>
        <w:spacing w:after="140"/>
      </w:pPr>
      <w:r>
        <w:rPr>
          <w:rFonts w:ascii="Times" w:hAnsi="Times" w:cs="Times"/>
          <w:sz w:val="23"/>
          <w:sz-cs w:val="23"/>
        </w:rPr>
        <w:t xml:space="preserve">The present invention relates to healthcare information technology, specifically an intelligent referral coordination platform employing practice-specific adaptive memory, fax-to-digital bridge acquisition, multi-context AI agent orchestration, conversational referral creation with EHR integration, and natural language deferred task scheduling for managing healthcare referrals between primary care and specialist practices.</w:t>
      </w:r>
    </w:p>
    <w:p>
      <w:pPr>
        <w:spacing w:before="260" w:after="140"/>
      </w:pPr>
      <w:r>
        <w:rPr>
          <w:rFonts w:ascii="Times New Roman" w:hAnsi="Times New Roman" w:cs="Times New Roman"/>
          <w:sz w:val="27"/>
          <w:sz-cs w:val="27"/>
          <w:b/>
        </w:rPr>
        <w:t xml:space="preserve">BACKGROUND OF THE INVENTION</w:t>
      </w:r>
    </w:p>
    <w:p>
      <w:pPr>
        <w:spacing w:after="140"/>
      </w:pPr>
      <w:r>
        <w:rPr>
          <w:rFonts w:ascii="Times" w:hAnsi="Times" w:cs="Times"/>
          <w:sz w:val="23"/>
          <w:sz-cs w:val="23"/>
        </w:rPr>
        <w:t xml:space="preserve">Healthcare referral management remains one of the most fragmented workflows in medicine. Approximately 50% of referrals fail to complete the full cycle. The average time from referral to specialist appointment exceeds 22 days nationally, and fewer than 30% achieve full loop closure. Existing systems suffer from:</w:t>
      </w:r>
    </w:p>
    <w:p>
      <w:pPr>
        <w:ind w:left="720" w:first-line="-720"/>
        <w:spacing w:after="100"/>
      </w:pPr>
      <w:r>
        <w:rPr>
          <w:rFonts w:ascii="Times" w:hAnsi="Times" w:cs="Times"/>
          <w:sz w:val="23"/>
          <w:sz-cs w:val="23"/>
          <w:b/>
        </w:rPr>
        <w:t xml:space="preserve"/>
        <w:tab/>
        <w:t xml:space="preserve">•</w:t>
        <w:tab/>
        <w:t xml:space="preserve">Static, rule-based systems: </w:t>
      </w:r>
      <w:r>
        <w:rPr>
          <w:rFonts w:ascii="Times" w:hAnsi="Times" w:cs="Times"/>
          <w:sz w:val="23"/>
          <w:sz-cs w:val="23"/>
        </w:rPr>
        <w:t xml:space="preserve">Apply identical workflows regardless of practice-specific patterns or specialist responsiveness histories. They do not learn from accumulated data.</w:t>
      </w:r>
    </w:p>
    <w:p>
      <w:pPr>
        <w:ind w:left="720" w:first-line="-720"/>
        <w:spacing w:after="100"/>
      </w:pPr>
      <w:r>
        <w:rPr>
          <w:rFonts w:ascii="Times" w:hAnsi="Times" w:cs="Times"/>
          <w:sz w:val="23"/>
          <w:sz-cs w:val="23"/>
          <w:b/>
        </w:rPr>
        <w:t xml:space="preserve"/>
        <w:tab/>
        <w:t xml:space="preserve">•</w:t>
        <w:tab/>
        <w:t xml:space="preserve">Digital-only adoption barriers: </w:t>
      </w:r>
      <w:r>
        <w:rPr>
          <w:rFonts w:ascii="Times" w:hAnsi="Times" w:cs="Times"/>
          <w:sz w:val="23"/>
          <w:sz-cs w:val="23"/>
        </w:rPr>
        <w:t xml:space="preserve">Require both sending and receiving practices to adopt simultaneously. Over 70% of specialist offices still rely on fax, creating a cold-start problem.</w:t>
      </w:r>
    </w:p>
    <w:p>
      <w:pPr>
        <w:ind w:left="720" w:first-line="-720"/>
        <w:spacing w:after="100"/>
      </w:pPr>
      <w:r>
        <w:rPr>
          <w:rFonts w:ascii="Times" w:hAnsi="Times" w:cs="Times"/>
          <w:sz w:val="23"/>
          <w:sz-cs w:val="23"/>
          <w:b/>
        </w:rPr>
        <w:t xml:space="preserve"/>
        <w:tab/>
        <w:t xml:space="preserve">•</w:t>
        <w:tab/>
        <w:t xml:space="preserve">Generic AI assistance: </w:t>
      </w:r>
      <w:r>
        <w:rPr>
          <w:rFonts w:ascii="Times" w:hAnsi="Times" w:cs="Times"/>
          <w:sz w:val="23"/>
          <w:sz-cs w:val="23"/>
        </w:rPr>
        <w:t xml:space="preserve">Operates with generic healthcare knowledge rather than practice-specific intelligence learned from actual referral outcomes.</w:t>
      </w:r>
    </w:p>
    <w:p>
      <w:pPr>
        <w:ind w:left="720" w:first-line="-720"/>
        <w:spacing w:after="100"/>
      </w:pPr>
      <w:r>
        <w:rPr>
          <w:rFonts w:ascii="Times" w:hAnsi="Times" w:cs="Times"/>
          <w:sz w:val="23"/>
          <w:sz-cs w:val="23"/>
          <w:b/>
        </w:rPr>
        <w:t xml:space="preserve"/>
        <w:tab/>
        <w:t xml:space="preserve">•</w:t>
        <w:tab/>
        <w:t xml:space="preserve">Reactive-only workflows: </w:t>
      </w:r>
      <w:r>
        <w:rPr>
          <w:rFonts w:ascii="Times" w:hAnsi="Times" w:cs="Times"/>
          <w:sz w:val="23"/>
          <w:sz-cs w:val="23"/>
        </w:rPr>
        <w:t xml:space="preserve">Require manual status checking. No proactive identification of overdue referrals or severity-weighted notifications from temporal analysis.</w:t>
      </w:r>
    </w:p>
    <w:p>
      <w:pPr>
        <w:ind w:left="720" w:first-line="-720"/>
        <w:spacing w:after="100"/>
      </w:pPr>
      <w:r>
        <w:rPr>
          <w:rFonts w:ascii="Times" w:hAnsi="Times" w:cs="Times"/>
          <w:sz w:val="23"/>
          <w:sz-cs w:val="23"/>
          <w:b/>
        </w:rPr>
        <w:t xml:space="preserve"/>
        <w:tab/>
        <w:t xml:space="preserve">•</w:t>
        <w:tab/>
        <w:t xml:space="preserve">Form-based referral creation: </w:t>
      </w:r>
      <w:r>
        <w:rPr>
          <w:rFonts w:ascii="Times" w:hAnsi="Times" w:cs="Times"/>
          <w:sz w:val="23"/>
          <w:sz-cs w:val="23"/>
        </w:rPr>
        <w:t xml:space="preserve">Require navigating multi-step forms. No system enables end-to-end referral creation through natural language conversation with integrated EHR data pull, directory search, and insurance verification.</w:t>
      </w:r>
    </w:p>
    <w:p>
      <w:pPr>
        <w:ind w:left="720" w:first-line="-720"/>
        <w:spacing w:after="100"/>
      </w:pPr>
      <w:r>
        <w:rPr>
          <w:rFonts w:ascii="Times" w:hAnsi="Times" w:cs="Times"/>
          <w:sz w:val="23"/>
          <w:sz-cs w:val="23"/>
          <w:b/>
        </w:rPr>
        <w:t xml:space="preserve"/>
        <w:tab/>
        <w:t xml:space="preserve">•</w:t>
        <w:tab/>
        <w:t xml:space="preserve">No deferred task scheduling: </w:t>
      </w:r>
      <w:r>
        <w:rPr>
          <w:rFonts w:ascii="Times" w:hAnsi="Times" w:cs="Times"/>
          <w:sz w:val="23"/>
          <w:sz-cs w:val="23"/>
        </w:rPr>
        <w:t xml:space="preserve">Staff cannot schedule follow-up actions through natural language. Separate calendar tools are disconnected from referral context.</w:t>
      </w:r>
    </w:p>
    <w:p>
      <w:pPr>
        <w:ind w:left="720" w:first-line="-720"/>
        <w:spacing w:after="100"/>
      </w:pPr>
      <w:r>
        <w:rPr>
          <w:rFonts w:ascii="Times" w:hAnsi="Times" w:cs="Times"/>
          <w:sz w:val="23"/>
          <w:sz-cs w:val="23"/>
          <w:b/>
        </w:rPr>
        <w:t xml:space="preserve"/>
        <w:tab/>
        <w:t xml:space="preserve">•</w:t>
        <w:tab/>
        <w:t xml:space="preserve">Siloed network intelligence: </w:t>
      </w:r>
      <w:r>
        <w:rPr>
          <w:rFonts w:ascii="Times" w:hAnsi="Times" w:cs="Times"/>
          <w:sz w:val="23"/>
          <w:sz-cs w:val="23"/>
        </w:rPr>
        <w:t xml:space="preserve">Multi-practice organizations cannot aggregate referral intelligence across constituent practices.</w:t>
      </w:r>
    </w:p>
    <w:p>
      <w:pPr>
        <w:spacing w:after="140"/>
      </w:pPr>
      <w:r>
        <w:rPr>
          <w:rFonts w:ascii="Times" w:hAnsi="Times" w:cs="Times"/>
          <w:sz w:val="23"/>
          <w:sz-cs w:val="23"/>
        </w:rPr>
        <w:t xml:space="preserve">US Patent 10,706,959 discloses parsing patient data from Continuity of Care Documents via secure email. US Patent 8,185,407 discloses an electronic referral request system. US Application 2021/0334697 discloses generating provider entity embeddings for specialist matching. US Application 2017/0193171 (Lyra Health) discloses personalized provider-patient matching across multiple dimensions. None of these disclose the combination of practice-specific adaptive memory, fax-bridge acquisition with claim tokens, multi-context AI agent orchestration, conversational referral creation with mid-flow EHR integration, proactive notification generation, natural language deferred task scheduling, and corporate network intelligence aggregation in a single integrated system.</w:t>
      </w:r>
    </w:p>
    <w:p>
      <w:pPr/>
      <w:r>
        <w:rPr>
          <w:rFonts w:ascii="Times" w:hAnsi="Times" w:cs="Times"/>
          <w:sz w:val="24"/>
          <w:sz-cs w:val="24"/>
        </w:rPr>
        <w:t xml:space="preserve"/>
        <w:br w:type="page"/>
        <w:t xml:space="preserve"/>
      </w:r>
    </w:p>
    <w:p>
      <w:pPr>
        <w:spacing w:before="260" w:after="140"/>
      </w:pPr>
      <w:r>
        <w:rPr>
          <w:rFonts w:ascii="Times New Roman" w:hAnsi="Times New Roman" w:cs="Times New Roman"/>
          <w:sz w:val="27"/>
          <w:sz-cs w:val="27"/>
          <w:b/>
        </w:rPr>
        <w:t xml:space="preserve">SUMMARY OF THE INVENTION</w:t>
      </w:r>
    </w:p>
    <w:p>
      <w:pPr>
        <w:spacing w:after="140"/>
      </w:pPr>
      <w:r>
        <w:rPr>
          <w:rFonts w:ascii="Times" w:hAnsi="Times" w:cs="Times"/>
          <w:sz w:val="23"/>
          <w:sz-cs w:val="23"/>
        </w:rPr>
        <w:t xml:space="preserve">The present invention provides an intelligent referral coordination platform comprising nine integrated novel subsystems:</w:t>
      </w:r>
    </w:p>
    <w:p>
      <w:pPr>
        <w:spacing w:before="200" w:after="100"/>
      </w:pPr>
      <w:r>
        <w:rPr>
          <w:rFonts w:ascii="Times New Roman" w:hAnsi="Times New Roman" w:cs="Times New Roman"/>
          <w:sz w:val="25"/>
          <w:sz-cs w:val="25"/>
          <w:b/>
        </w:rPr>
        <w:t xml:space="preserve">1. Practice-Specific Adaptive Memory System</w:t>
      </w:r>
    </w:p>
    <w:p>
      <w:pPr>
        <w:spacing w:after="140"/>
      </w:pPr>
      <w:r>
        <w:rPr>
          <w:rFonts w:ascii="Times" w:hAnsi="Times" w:cs="Times"/>
          <w:sz w:val="23"/>
          <w:sz-cs w:val="23"/>
        </w:rPr>
        <w:t xml:space="preserve">A memory subsystem maintaining isolated, practice-scoped data stores accumulating intelligence from referral lifecycle events via atomic upsert operations. Memory types include: relationship memories (referral counts and completion rates between practice pairs), specialist statistics (days-to-completion, loop closure rates), specialist preference memories (frequency-weighted counting of preferred specialists per specialty), and document pattern memories. A memory reader constructs context-aware injections for the AI agent system prompt.</w:t>
      </w:r>
    </w:p>
    <w:p>
      <w:pPr>
        <w:spacing w:before="200" w:after="100"/>
      </w:pPr>
      <w:r>
        <w:rPr>
          <w:rFonts w:ascii="Times New Roman" w:hAnsi="Times New Roman" w:cs="Times New Roman"/>
          <w:sz w:val="25"/>
          <w:sz-cs w:val="25"/>
          <w:b/>
        </w:rPr>
        <w:t xml:space="preserve">2. Fax-Bridge Network Acquisition System</w:t>
      </w:r>
    </w:p>
    <w:p>
      <w:pPr>
        <w:spacing w:after="140"/>
      </w:pPr>
      <w:r>
        <w:rPr>
          <w:rFonts w:ascii="Times" w:hAnsi="Times" w:cs="Times"/>
          <w:sz w:val="23"/>
          <w:sz-cs w:val="23"/>
        </w:rPr>
        <w:t xml:space="preserve">A referral transmission mechanism generating fax documents with embedded digital claim tokens. Each referral generates a cryptographically random token stored with the specialist’s directory entry, referral ID, and 90-day expiration. The fax includes a claim URL that, when accessed, initiates account creation pre-linked to the directory entry, transforming each referral into a network acquisition event.</w:t>
      </w:r>
    </w:p>
    <w:p>
      <w:pPr>
        <w:spacing w:before="200" w:after="100"/>
      </w:pPr>
      <w:r>
        <w:rPr>
          <w:rFonts w:ascii="Times New Roman" w:hAnsi="Times New Roman" w:cs="Times New Roman"/>
          <w:sz w:val="25"/>
          <w:sz-cs w:val="25"/>
          <w:b/>
        </w:rPr>
        <w:t xml:space="preserve">3. Multi-Context AI Agent Orchestration</w:t>
      </w:r>
    </w:p>
    <w:p>
      <w:pPr>
        <w:spacing w:after="140"/>
      </w:pPr>
      <w:r>
        <w:rPr>
          <w:rFonts w:ascii="Times" w:hAnsi="Times" w:cs="Times"/>
          <w:sz w:val="23"/>
          <w:sz-cs w:val="23"/>
        </w:rPr>
        <w:t xml:space="preserve">An AI agent with dynamically constructed system prompts varying by user role, view context, referral state, and accumulated memories. Orchestrates seven tools including directory search with location-aware ranking, referral detail retrieval with access control, and practice analytics. Pre-computed exact counts prevent LLM numerical hallucination. Response parsing extracts structured action and suggestion blocks.</w:t>
      </w:r>
    </w:p>
    <w:p>
      <w:pPr>
        <w:spacing w:before="200" w:after="100"/>
      </w:pPr>
      <w:r>
        <w:rPr>
          <w:rFonts w:ascii="Times New Roman" w:hAnsi="Times New Roman" w:cs="Times New Roman"/>
          <w:sz w:val="25"/>
          <w:sz-cs w:val="25"/>
          <w:b/>
        </w:rPr>
        <w:t xml:space="preserve">4. Proactive Notification Engine</w:t>
      </w:r>
    </w:p>
    <w:p>
      <w:pPr>
        <w:spacing w:after="140"/>
      </w:pPr>
      <w:r>
        <w:rPr>
          <w:rFonts w:ascii="Times" w:hAnsi="Times" w:cs="Times"/>
          <w:sz w:val="23"/>
          <w:sz-cs w:val="23"/>
        </w:rPr>
        <w:t xml:space="preserve">A cron-driven engine analyzing all active referrals to generate severity-weighted notifications for: new referrals exceeding 3 days (warning), assigned referrals exceeding 7 days without appointments (urgent), and seen referrals exceeding 5 days without summaries (warning). Deduplicates against existing non-dismissed notifications.</w:t>
      </w:r>
    </w:p>
    <w:p>
      <w:pPr>
        <w:spacing w:before="200" w:after="100"/>
      </w:pPr>
      <w:r>
        <w:rPr>
          <w:rFonts w:ascii="Times New Roman" w:hAnsi="Times New Roman" w:cs="Times New Roman"/>
          <w:sz w:val="25"/>
          <w:sz-cs w:val="25"/>
          <w:b/>
        </w:rPr>
        <w:t xml:space="preserve">5. Contextual Nudge Engine</w:t>
      </w:r>
    </w:p>
    <w:p>
      <w:pPr>
        <w:spacing w:after="140"/>
      </w:pPr>
      <w:r>
        <w:rPr>
          <w:rFonts w:ascii="Times" w:hAnsi="Times" w:cs="Times"/>
          <w:sz w:val="23"/>
          <w:sz-cs w:val="23"/>
        </w:rPr>
        <w:t xml:space="preserve">A client-side rules engine deriving actionable nudges from referral state with rate-limit-aware action gating (enforcing 24-hour minimum intervals between summary requests with countdown display), insurance mismatch detection via fuzzy matching against specialist accepted-insurance arrays, and session-persistent dismissal state with explicit restoration mechanism allowing re-display of previously dismissed nudges.</w:t>
      </w:r>
    </w:p>
    <w:p>
      <w:pPr>
        <w:spacing w:before="200" w:after="100"/>
      </w:pPr>
      <w:r>
        <w:rPr>
          <w:rFonts w:ascii="Times New Roman" w:hAnsi="Times New Roman" w:cs="Times New Roman"/>
          <w:sz w:val="25"/>
          <w:sz-cs w:val="25"/>
          <w:b/>
        </w:rPr>
        <w:t xml:space="preserve">6. EHR Adapter Architecture</w:t>
      </w:r>
    </w:p>
    <w:p>
      <w:pPr>
        <w:spacing w:after="140"/>
      </w:pPr>
      <w:r>
        <w:rPr>
          <w:rFonts w:ascii="Times" w:hAnsi="Times" w:cs="Times"/>
          <w:sz w:val="23"/>
          <w:sz-cs w:val="23"/>
        </w:rPr>
        <w:t xml:space="preserve">A pluggable adapter pattern with canonical interface (patient search, clinical data retrieval, visit summary push-back) and vendor-specific adapters (FHIR R4 for Athena, REST for eClinicalWorks). Features serverless-optimized OAuth token caching with database persistence and 5-minute safety buffer, automatic 401-driven refresh, and parallel clinical data fetching with graceful partial failure via Promise.allSettled.</w:t>
      </w:r>
    </w:p>
    <w:p>
      <w:pPr>
        <w:spacing w:before="200" w:after="100"/>
      </w:pPr>
      <w:r>
        <w:rPr>
          <w:rFonts w:ascii="Times New Roman" w:hAnsi="Times New Roman" w:cs="Times New Roman"/>
          <w:sz w:val="25"/>
          <w:sz-cs w:val="25"/>
          <w:b/>
        </w:rPr>
        <w:t xml:space="preserve">7. AI-Scheduled Deferred Task System</w:t>
      </w:r>
    </w:p>
    <w:p>
      <w:pPr>
        <w:spacing w:after="140"/>
      </w:pPr>
      <w:r>
        <w:rPr>
          <w:rFonts w:ascii="Times" w:hAnsi="Times" w:cs="Times"/>
          <w:sz w:val="23"/>
          <w:sz-cs w:val="23"/>
        </w:rPr>
        <w:t xml:space="preserve">Natural language task scheduling where the AI resolves temporal expressions against a dynamically computed 7-day calendar injected into its system prompt. Tasks persist to a database with practice scope and referral association. A cron system autonomously executes tasks, creating timeline events and notifications. Includes retry logic with 3-attempt failure caps and conversational cancellation.</w:t>
      </w:r>
    </w:p>
    <w:p>
      <w:pPr>
        <w:spacing w:before="200" w:after="100"/>
      </w:pPr>
      <w:r>
        <w:rPr>
          <w:rFonts w:ascii="Times New Roman" w:hAnsi="Times New Roman" w:cs="Times New Roman"/>
          <w:sz w:val="25"/>
          <w:sz-cs w:val="25"/>
          <w:b/>
        </w:rPr>
        <w:t xml:space="preserve">8. Conversational Referral Creation Pipeline</w:t>
      </w:r>
    </w:p>
    <w:p>
      <w:pPr>
        <w:spacing w:after="140"/>
      </w:pPr>
      <w:r>
        <w:rPr>
          <w:rFonts w:ascii="Times" w:hAnsi="Times" w:cs="Times"/>
          <w:sz w:val="23"/>
          <w:sz-cs w:val="23"/>
        </w:rPr>
        <w:t xml:space="preserve">A gated conversational flow where the AI agent collects referral information through dialogue, enforcing mandatory field collection (patient name, DOB, specialty, reason) before offering action buttons. The prepare phase simultaneously pulls patient data from the connected EHR adapter, searches the specialist directory with haversine-distance ranking and city-name boosting, and retrieves specialist requirements. Patient data completeness is verified (including valid phone number) before rendering send actions; incomplete data routes to a manual form with pre-filled specialist information.</w:t>
      </w:r>
    </w:p>
    <w:p>
      <w:pPr>
        <w:spacing w:before="200" w:after="100"/>
      </w:pPr>
      <w:r>
        <w:rPr>
          <w:rFonts w:ascii="Times New Roman" w:hAnsi="Times New Roman" w:cs="Times New Roman"/>
          <w:sz w:val="25"/>
          <w:sz-cs w:val="25"/>
          <w:b/>
        </w:rPr>
        <w:t xml:space="preserve">9. Corporate Network Intelligence Aggregation</w:t>
      </w:r>
    </w:p>
    <w:p>
      <w:pPr>
        <w:spacing w:after="140"/>
      </w:pPr>
      <w:r>
        <w:rPr>
          <w:rFonts w:ascii="Times" w:hAnsi="Times" w:cs="Times"/>
          <w:sz w:val="23"/>
          <w:sz-cs w:val="23"/>
        </w:rPr>
        <w:t xml:space="preserve">A multi-practice aggregation architecture computing composite performance scores with configurable weights, practice leaderboards with sortable rankings, specialist partner analysis across the network, payer intelligence identifying carrier performance variations, regional comparison, and an AI agent with network-wide data in its system prompt for executive-level natural language intelligence queries.</w:t>
      </w:r>
    </w:p>
    <w:p>
      <w:pPr/>
      <w:r>
        <w:rPr>
          <w:rFonts w:ascii="Times" w:hAnsi="Times" w:cs="Times"/>
          <w:sz w:val="24"/>
          <w:sz-cs w:val="24"/>
        </w:rPr>
        <w:t xml:space="preserve"/>
        <w:br w:type="page"/>
        <w:t xml:space="preserve"/>
      </w:r>
    </w:p>
    <w:p>
      <w:pPr>
        <w:spacing w:before="260" w:after="140"/>
      </w:pPr>
      <w:r>
        <w:rPr>
          <w:rFonts w:ascii="Times New Roman" w:hAnsi="Times New Roman" w:cs="Times New Roman"/>
          <w:sz w:val="27"/>
          <w:sz-cs w:val="27"/>
          <w:b/>
        </w:rPr>
        <w:t xml:space="preserve">DETAILED DESCRIPTION OF PREFERRED EMBODIMENTS</w:t>
      </w:r>
    </w:p>
    <w:p>
      <w:pPr>
        <w:spacing w:before="200" w:after="100"/>
      </w:pPr>
      <w:r>
        <w:rPr>
          <w:rFonts w:ascii="Times New Roman" w:hAnsi="Times New Roman" w:cs="Times New Roman"/>
          <w:sz w:val="25"/>
          <w:sz-cs w:val="25"/>
          <w:b/>
        </w:rPr>
        <w:t xml:space="preserve">System Architecture</w:t>
      </w:r>
    </w:p>
    <w:p>
      <w:pPr>
        <w:spacing w:after="140"/>
      </w:pPr>
      <w:r>
        <w:rPr>
          <w:rFonts w:ascii="Times" w:hAnsi="Times" w:cs="Times"/>
          <w:sz w:val="23"/>
          <w:sz-cs w:val="23"/>
        </w:rPr>
        <w:t xml:space="preserve">The system comprises a web-based client interface (e.g., a Next.js application, React application, or equivalent single-page application framework) hosted on scalable cloud computing infrastructure (e.g., Vercel, AWS, Google Cloud Platform, or Microsoft Azure). Data is maintained in a persistent storage layer, which may comprise a relational database (e.g., PostgreSQL via Supabase, AWS RDS, Google Cloud SQL) or other managed backend services utilizing row-level security or equivalent access control mechanisms for practice-level data isolation. The artificial intelligence orchestration layer utilizes one or more large language models (LLMs) accessible via managed APIs (e.g., AWS Bedrock, Anthropic API, OpenAI API, Google Vertex AI) or self-hosted inference infrastructure. In the preferred embodiment, the system is implemented as a Next.js 15 application deployed on Vercel, with PostgreSQL managed by Supabase, and Claude language models accessed via AWS Bedrock. The system serves three user interfaces: a PCP interface for referral creation, tracking, and analytics; a specialist interface for referral reception, processing, and loop closure; and a corporate interface aggregating data across affiliated practices. See FIG. 1.</w:t>
      </w:r>
    </w:p>
    <w:p>
      <w:pPr>
        <w:spacing w:before="200" w:after="100"/>
      </w:pPr>
      <w:r>
        <w:rPr>
          <w:rFonts w:ascii="Times New Roman" w:hAnsi="Times New Roman" w:cs="Times New Roman"/>
          <w:sz w:val="25"/>
          <w:sz-cs w:val="25"/>
          <w:b/>
        </w:rPr>
        <w:t xml:space="preserve">Memory System Implementation</w:t>
      </w:r>
    </w:p>
    <w:p>
      <w:pPr>
        <w:spacing w:after="140"/>
      </w:pPr>
      <w:r>
        <w:rPr>
          <w:rFonts w:ascii="Times" w:hAnsi="Times" w:cs="Times"/>
          <w:sz w:val="23"/>
          <w:sz-cs w:val="23"/>
        </w:rPr>
        <w:t xml:space="preserve">The agent_memory table stores: practice_id (UUID FK), memory_type (text), memory_key (text), memory_value (JSONB), confidence (numeric 0-1), sample_size (integer). Unique constraint on (practice_id, memory_type, memory_key). The writer fires asynchronously on referral creation (increments relationship.total_sent, updates specialist_preference frequency counters), loop closure (calculates days-to-completion, increments total_completed, computes running average), and incomplete marking (increments total_incomplete). Writes attempt atomic PostgreSQL RPC, falling back to read-modify-write. The reader queries memories by practice+specialist+specialty context and formats as natural language for system prompt injection. See FIG. 2.</w:t>
      </w:r>
    </w:p>
    <w:p>
      <w:pPr>
        <w:spacing w:before="200" w:after="100"/>
      </w:pPr>
      <w:r>
        <w:rPr>
          <w:rFonts w:ascii="Times New Roman" w:hAnsi="Times New Roman" w:cs="Times New Roman"/>
          <w:sz w:val="25"/>
          <w:sz-cs w:val="25"/>
          <w:b/>
        </w:rPr>
        <w:t xml:space="preserve">Fax-Bridge Implementation</w:t>
      </w:r>
    </w:p>
    <w:p>
      <w:pPr>
        <w:spacing w:after="140"/>
      </w:pPr>
      <w:r>
        <w:rPr>
          <w:rFonts w:ascii="Times" w:hAnsi="Times" w:cs="Times"/>
          <w:sz w:val="23"/>
          <w:sz-cs w:val="23"/>
        </w:rPr>
        <w:t xml:space="preserve">On referral submission: (1) generate 8-character token via crypto.randomUUID().slice(0,8); (2) store in directory_claim_tokens with directory entry, referral ID, 90-day expiry; (3) render PDF via React PDF with clinical data and claim URL; (4) upload to cloud storage; (5) transmit via e-fax API. Claim URL validates token, displays pending referrals, initiates account creation pre-linked to directory entry. See FIG. 3.</w:t>
      </w:r>
    </w:p>
    <w:p>
      <w:pPr>
        <w:spacing w:before="200" w:after="100"/>
      </w:pPr>
      <w:r>
        <w:rPr>
          <w:rFonts w:ascii="Times New Roman" w:hAnsi="Times New Roman" w:cs="Times New Roman"/>
          <w:sz w:val="25"/>
          <w:sz-cs w:val="25"/>
          <w:b/>
        </w:rPr>
        <w:t xml:space="preserve">Agent Orchestration Implementation</w:t>
      </w:r>
    </w:p>
    <w:p>
      <w:pPr>
        <w:spacing w:after="140"/>
      </w:pPr>
      <w:r>
        <w:rPr>
          <w:rFonts w:ascii="Times" w:hAnsi="Times" w:cs="Times"/>
          <w:sz w:val="23"/>
          <w:sz-cs w:val="23"/>
        </w:rPr>
        <w:t xml:space="preserve">The API route determines user role and branches into prompt construction: dashboard (all practice referrals with pre-computed counts, pending actions, specialist requirements), referral detail (full referral with timeline, specialist details, attachments, information requests), or corporate (network-wide aggregated data). Prompt assembles ~15 named constant blocks plus dynamic context. Tool-use loop iterates until final response. Response parsed for [ACTIONS] and [SUGGESTIONS] blocks. See FIG. 4.</w:t>
      </w:r>
    </w:p>
    <w:p>
      <w:pPr>
        <w:spacing w:before="200" w:after="100"/>
      </w:pPr>
      <w:r>
        <w:rPr>
          <w:rFonts w:ascii="Times New Roman" w:hAnsi="Times New Roman" w:cs="Times New Roman"/>
          <w:sz w:val="25"/>
          <w:sz-cs w:val="25"/>
          <w:b/>
        </w:rPr>
        <w:t xml:space="preserve">Deferred Task Implementation</w:t>
      </w:r>
    </w:p>
    <w:p>
      <w:pPr>
        <w:spacing w:after="140"/>
      </w:pPr>
      <w:r>
        <w:rPr>
          <w:rFonts w:ascii="Times" w:hAnsi="Times" w:cs="Times"/>
          <w:sz w:val="23"/>
          <w:sz-cs w:val="23"/>
        </w:rPr>
        <w:t xml:space="preserve">getTemporalActions() computes current date, day name, and 7-day calendar mapping injected into system prompt. LLM resolves “next Friday” to ISO 8601 via the mapping. Tasks stored with practice_id, referral_id, task_type, execute_at, note. Cron executes pending tasks: request_summary triggers API calls; follow_up creates timeline events and notifications. Failed tasks retry 3 times. See FIG. 7.</w:t>
      </w:r>
    </w:p>
    <w:p>
      <w:pPr>
        <w:spacing w:before="200" w:after="100"/>
      </w:pPr>
      <w:r>
        <w:rPr>
          <w:rFonts w:ascii="Times New Roman" w:hAnsi="Times New Roman" w:cs="Times New Roman"/>
          <w:sz w:val="25"/>
          <w:sz-cs w:val="25"/>
          <w:b/>
        </w:rPr>
        <w:t xml:space="preserve">Conversational Referral Creation Implementation</w:t>
      </w:r>
    </w:p>
    <w:p>
      <w:pPr>
        <w:spacing w:after="140"/>
      </w:pPr>
      <w:r>
        <w:rPr>
          <w:rFonts w:ascii="Times" w:hAnsi="Times" w:cs="Times"/>
          <w:sz w:val="23"/>
          <w:sz-cs w:val="23"/>
        </w:rPr>
        <w:t xml:space="preserve">System prompt enforces field collection before action buttons. Prepare endpoint: (1) parses patient name; (2) calls EHR adapter via executeAgentTask({type:’pull_patient’}); (3) searches specialist_directory with ilike pattern, geocodes location via internal API, computes haversine distances, applies city-name boosting; (4) fetches specialist requirements per result. Client verifies phone number validity before rendering send buttons; incomplete data shows “Use Referral Form” navigation. Send endpoint creates referral, generates claim token, renders fax PDF, transmits.</w:t>
      </w:r>
    </w:p>
    <w:p>
      <w:pPr>
        <w:spacing w:before="200" w:after="100"/>
      </w:pPr>
      <w:r>
        <w:rPr>
          <w:rFonts w:ascii="Times New Roman" w:hAnsi="Times New Roman" w:cs="Times New Roman"/>
          <w:sz w:val="25"/>
          <w:sz-cs w:val="25"/>
          <w:b/>
        </w:rPr>
        <w:t xml:space="preserve">Proactive Notification Implementation</w:t>
      </w:r>
    </w:p>
    <w:p>
      <w:pPr>
        <w:spacing w:after="140"/>
      </w:pPr>
      <w:r>
        <w:rPr>
          <w:rFonts w:ascii="Times" w:hAnsi="Times" w:cs="Times"/>
          <w:sz w:val="23"/>
          <w:sz-cs w:val="23"/>
        </w:rPr>
        <w:t xml:space="preserve">Cron authenticates via CRON_SECRET, runs generateProactiveNotifications() querying three conditions with configurable thresholds. Each generates practice-scoped notification with severity. Deduplication checks for existing non-dismissed (referral_id, notification_type) pairs. RLS enforces practice isolation. See FIG. 5.</w:t>
      </w:r>
    </w:p>
    <w:p>
      <w:pPr>
        <w:spacing w:before="200" w:after="100"/>
      </w:pPr>
      <w:r>
        <w:rPr>
          <w:rFonts w:ascii="Times New Roman" w:hAnsi="Times New Roman" w:cs="Times New Roman"/>
          <w:sz w:val="25"/>
          <w:sz-cs w:val="25"/>
          <w:b/>
        </w:rPr>
        <w:t xml:space="preserve">EHR Adapter Implementation</w:t>
      </w:r>
    </w:p>
    <w:p>
      <w:pPr>
        <w:spacing w:after="140"/>
      </w:pPr>
      <w:r>
        <w:rPr>
          <w:rFonts w:ascii="Times" w:hAnsi="Times" w:cs="Times"/>
          <w:sz w:val="23"/>
          <w:sz-cs w:val="23"/>
        </w:rPr>
        <w:t xml:space="preserve">EHRAdapter interface defines initialize(), testConnection(), searchPatient(), pushVisitSummary(). FHIRClient caches OAuth tokens in ehr_credentials table with 5-minute expiry buffer for serverless. Automatic 401 retry with cache invalidation. AthenaAdapter uses Promise.allSettled for parallel FHIR resource fetch (Coverage, Condition, MedicationRequest, AllergyIntolerance). Multiple patient matches return disambiguation candidates. Push creates FHIR DocumentReference with LOINC 11488-4. See FIG. 6.</w:t>
      </w:r>
    </w:p>
    <w:p>
      <w:pPr/>
      <w:r>
        <w:rPr>
          <w:rFonts w:ascii="Times" w:hAnsi="Times" w:cs="Times"/>
          <w:sz w:val="24"/>
          <w:sz-cs w:val="24"/>
        </w:rPr>
        <w:t xml:space="preserve"/>
        <w:br w:type="page"/>
        <w:t xml:space="preserve"/>
      </w:r>
    </w:p>
    <w:p>
      <w:pPr>
        <w:spacing w:before="260" w:after="140"/>
      </w:pPr>
      <w:r>
        <w:rPr>
          <w:rFonts w:ascii="Times New Roman" w:hAnsi="Times New Roman" w:cs="Times New Roman"/>
          <w:sz w:val="27"/>
          <w:sz-cs w:val="27"/>
          <w:b/>
        </w:rPr>
        <w:t xml:space="preserve">CLAIMS</w:t>
      </w:r>
    </w:p>
    <w:p>
      <w:pPr>
        <w:spacing w:after="140"/>
      </w:pPr>
      <w:r>
        <w:rPr>
          <w:rFonts w:ascii="Times" w:hAnsi="Times" w:cs="Times"/>
          <w:sz w:val="23"/>
          <w:sz-cs w:val="23"/>
          <w:i/>
        </w:rPr>
        <w:t xml:space="preserve">What is claimed is:</w:t>
      </w:r>
    </w:p>
    <w:p>
      <w:pPr>
        <w:spacing w:after="140"/>
      </w:pPr>
      <w:r>
        <w:rPr>
          <w:rFonts w:ascii="Times" w:hAnsi="Times" w:cs="Times"/>
          <w:sz w:val="23"/>
          <w:sz-cs w:val="23"/>
          <w:b/>
          <w:u w:val="single"/>
        </w:rPr>
        <w:t xml:space="preserve">Independent Claims</w:t>
      </w:r>
    </w:p>
    <w:p>
      <w:pPr>
        <w:ind w:left="360"/>
        <w:spacing w:after="160"/>
      </w:pPr>
      <w:r>
        <w:rPr>
          <w:rFonts w:ascii="Times" w:hAnsi="Times" w:cs="Times"/>
          <w:sz w:val="23"/>
          <w:sz-cs w:val="23"/>
          <w:b/>
        </w:rPr>
        <w:t xml:space="preserve">1. A computer-implemented method for adaptive healthcare referral intelligence comprising: </w:t>
      </w:r>
      <w:r>
        <w:rPr>
          <w:rFonts w:ascii="Times" w:hAnsi="Times" w:cs="Times"/>
          <w:sz w:val="23"/>
          <w:sz-cs w:val="23"/>
        </w:rPr>
        <w:t xml:space="preserve">maintaining practice-scoped memory stores isolated via row-level security; detecting referral lifecycle events; atomically updating memory stores by incrementing event-specific counters and recording temporal metrics; constructing context-aware memory injections; and incorporating injections into dynamically constructed system prompts for a large language model whereby responses reflect practice-specific learned patterns.</w:t>
      </w:r>
    </w:p>
    <w:p>
      <w:pPr>
        <w:ind w:left="360"/>
        <w:spacing w:after="160"/>
      </w:pPr>
      <w:r>
        <w:rPr>
          <w:rFonts w:ascii="Times" w:hAnsi="Times" w:cs="Times"/>
          <w:sz w:val="23"/>
          <w:sz-cs w:val="23"/>
          <w:b/>
        </w:rPr>
        <w:t xml:space="preserve">2. A computer-implemented method for network acquisition comprising: </w:t>
      </w:r>
      <w:r>
        <w:rPr>
          <w:rFonts w:ascii="Times" w:hAnsi="Times" w:cs="Times"/>
          <w:sz w:val="23"/>
          <w:sz-cs w:val="23"/>
        </w:rPr>
        <w:t xml:space="preserve">receiving a referral submission; generating a cryptographically random claim token stored with the specialist’s directory entry; rendering a fax document containing clinical information and a claim URL with the token; transmitting the fax; upon specialist accessing the claim URL, validating the token; and initiating account creation pre-linked to the directory entry, whereby each referral serves as a network acquisition event.</w:t>
      </w:r>
    </w:p>
    <w:p>
      <w:pPr>
        <w:ind w:left="360"/>
        <w:spacing w:after="160"/>
      </w:pPr>
      <w:r>
        <w:rPr>
          <w:rFonts w:ascii="Times" w:hAnsi="Times" w:cs="Times"/>
          <w:sz w:val="23"/>
          <w:sz-cs w:val="23"/>
          <w:b/>
        </w:rPr>
        <w:t xml:space="preserve">3. A system for multi-context AI agent orchestration comprising: </w:t>
      </w:r>
      <w:r>
        <w:rPr>
          <w:rFonts w:ascii="Times" w:hAnsi="Times" w:cs="Times"/>
          <w:sz w:val="23"/>
          <w:sz-cs w:val="23"/>
        </w:rPr>
        <w:t xml:space="preserve">a processor executing instructions to: determine user role and view context; select a system prompt construction path; assemble pre-computed referral counts, context data, adaptive memories, tool guidelines, and privacy guardrails into a system prompt; provide the prompt to a language model with executable tools; iteratively execute tool calls until final response; and parse structured action and suggestion blocks from the response.</w:t>
      </w:r>
    </w:p>
    <w:p>
      <w:pPr>
        <w:ind w:left="360"/>
        <w:spacing w:after="160"/>
      </w:pPr>
      <w:r>
        <w:rPr>
          <w:rFonts w:ascii="Times" w:hAnsi="Times" w:cs="Times"/>
          <w:sz w:val="23"/>
          <w:sz-cs w:val="23"/>
          <w:b/>
        </w:rPr>
        <w:t xml:space="preserve">4. A method for proactive healthcare referral monitoring comprising: </w:t>
      </w:r>
      <w:r>
        <w:rPr>
          <w:rFonts w:ascii="Times" w:hAnsi="Times" w:cs="Times"/>
          <w:sz w:val="23"/>
          <w:sz-cs w:val="23"/>
        </w:rPr>
        <w:t xml:space="preserve">periodically analyzing active referrals; evaluating temporal conditions per referral; generating severity-weighted notifications where new-status referrals exceeding a first threshold generate warnings, assigned-status referrals exceeding a second threshold without appointments generate urgent alerts, and seen-status referrals exceeding a third threshold without summaries generate warnings; and deduplicating against existing non-dismissed notifications.</w:t>
      </w:r>
    </w:p>
    <w:p>
      <w:pPr>
        <w:ind w:left="360"/>
        <w:spacing w:after="160"/>
      </w:pPr>
      <w:r>
        <w:rPr>
          <w:rFonts w:ascii="Times" w:hAnsi="Times" w:cs="Times"/>
          <w:sz w:val="23"/>
          <w:sz-cs w:val="23"/>
          <w:b/>
        </w:rPr>
        <w:t xml:space="preserve">5. A method for contextual intelligence nudges comprising: </w:t>
      </w:r>
      <w:r>
        <w:rPr>
          <w:rFonts w:ascii="Times" w:hAnsi="Times" w:cs="Times"/>
          <w:sz w:val="23"/>
          <w:sz-cs w:val="23"/>
        </w:rPr>
        <w:t xml:space="preserve">receiving referral state data; applying derivation rules evaluating status, temporal thresholds, and data presence; generating severity-weighted nudge objects with action elements; enforcing rate-limit-aware action gating with countdown display for time-restricted operations; detecting insurance mismatches via fuzzy matching against specialist accepted-insurance arrays; maintaining dismissal state in session storage keyed by referral identifier; and providing explicit restoration allowing re-display of dismissed nudges.</w:t>
      </w:r>
    </w:p>
    <w:p>
      <w:pPr>
        <w:ind w:left="360"/>
        <w:spacing w:after="160"/>
      </w:pPr>
      <w:r>
        <w:rPr>
          <w:rFonts w:ascii="Times" w:hAnsi="Times" w:cs="Times"/>
          <w:sz w:val="23"/>
          <w:sz-cs w:val="23"/>
          <w:b/>
        </w:rPr>
        <w:t xml:space="preserve">6. An adapter architecture for EHR integration comprising: </w:t>
      </w:r>
      <w:r>
        <w:rPr>
          <w:rFonts w:ascii="Times" w:hAnsi="Times" w:cs="Times"/>
          <w:sz w:val="23"/>
          <w:sz-cs w:val="23"/>
        </w:rPr>
        <w:t xml:space="preserve">a canonical interface for patient search, clinical data retrieval, and visit summary push-back; vendor-specific adapters translating to EHR-specific protocols; a central orchestrator dispatching to adapters with serverless-optimized OAuth token caching using database persistence with safety buffer and automatic refresh on authentication failure; and parallel clinical data fetching with graceful partial failure.</w:t>
      </w:r>
    </w:p>
    <w:p>
      <w:pPr>
        <w:ind w:left="360"/>
        <w:spacing w:after="160"/>
      </w:pPr>
      <w:r>
        <w:rPr>
          <w:rFonts w:ascii="Times" w:hAnsi="Times" w:cs="Times"/>
          <w:sz w:val="23"/>
          <w:sz-cs w:val="23"/>
          <w:b/>
        </w:rPr>
        <w:t xml:space="preserve">7. A method for natural language deferred task scheduling comprising: </w:t>
      </w:r>
      <w:r>
        <w:rPr>
          <w:rFonts w:ascii="Times" w:hAnsi="Times" w:cs="Times"/>
          <w:sz w:val="23"/>
          <w:sz-cs w:val="23"/>
        </w:rPr>
        <w:t xml:space="preserve">computing a temporal reference map with current date and 7-day calendar; injecting the map into an AI system prompt; receiving a natural language scheduling expression; the AI resolving the expression to an ISO 8601 timestamp; persisting the task with referral association and practice scope; a scheduled process autonomously executing the task; and creating timeline events and notifications establishing an audit trail from conversational intent to execution.</w:t>
      </w:r>
    </w:p>
    <w:p>
      <w:pPr>
        <w:ind w:left="360"/>
        <w:spacing w:after="160"/>
      </w:pPr>
      <w:r>
        <w:rPr>
          <w:rFonts w:ascii="Times" w:hAnsi="Times" w:cs="Times"/>
          <w:sz w:val="23"/>
          <w:sz-cs w:val="23"/>
          <w:b/>
        </w:rPr>
        <w:t xml:space="preserve">8. A method for conversational referral creation comprising: </w:t>
      </w:r>
      <w:r>
        <w:rPr>
          <w:rFonts w:ascii="Times" w:hAnsi="Times" w:cs="Times"/>
          <w:sz w:val="23"/>
          <w:sz-cs w:val="23"/>
        </w:rPr>
        <w:t xml:space="preserve">an AI agent enforcing mandatory field collection through dialogue before offering action buttons; simultaneously pulling patient data from a connected EHR adapter, searching a specialist directory with haversine-distance ranking, and retrieving specialist requirements; verifying patient data completeness including phone number validity; rendering referral submission actions only when data is complete; and routing to a manual form with pre-filled information when data is incomplete.</w:t>
      </w:r>
    </w:p>
    <w:p>
      <w:pPr>
        <w:ind w:left="360"/>
        <w:spacing w:after="160"/>
      </w:pPr>
      <w:r>
        <w:rPr>
          <w:rFonts w:ascii="Times" w:hAnsi="Times" w:cs="Times"/>
          <w:sz w:val="23"/>
          <w:sz-cs w:val="23"/>
          <w:b/>
        </w:rPr>
        <w:t xml:space="preserve">9. A system for multi-practice healthcare network intelligence comprising: </w:t>
      </w:r>
      <w:r>
        <w:rPr>
          <w:rFonts w:ascii="Times" w:hAnsi="Times" w:cs="Times"/>
          <w:sz w:val="23"/>
          <w:sz-cs w:val="23"/>
        </w:rPr>
        <w:t xml:space="preserve">a data aggregation layer computing network-wide metrics with composite performance scores using configurable weights; a sortable practice leaderboard with tier-based visual indicators; specialist partner analysis identifying shared specialists with aggregate quality metrics; payer intelligence identifying carrier performance variations; regional comparison; and an AI agent with full aggregated network data enabling executive-level natural language queries.</w:t>
      </w:r>
    </w:p>
    <w:p>
      <w:pPr>
        <w:spacing w:before="200"/>
      </w:pPr>
      <w:r>
        <w:rPr>
          <w:rFonts w:ascii="Times" w:hAnsi="Times" w:cs="Times"/>
          <w:sz w:val="23"/>
          <w:sz-cs w:val="23"/>
        </w:rPr>
        <w:t xml:space="preserve"/>
      </w:r>
    </w:p>
    <w:p>
      <w:pPr>
        <w:spacing w:after="140"/>
      </w:pPr>
      <w:r>
        <w:rPr>
          <w:rFonts w:ascii="Times" w:hAnsi="Times" w:cs="Times"/>
          <w:sz w:val="23"/>
          <w:sz-cs w:val="23"/>
          <w:b/>
          <w:u w:val="single"/>
        </w:rPr>
        <w:t xml:space="preserve">Dependent Claims</w:t>
      </w:r>
    </w:p>
    <w:p>
      <w:pPr>
        <w:ind w:left="720"/>
        <w:spacing w:after="140"/>
      </w:pPr>
      <w:r>
        <w:rPr>
          <w:rFonts w:ascii="Times" w:hAnsi="Times" w:cs="Times"/>
          <w:sz w:val="23"/>
          <w:sz-cs w:val="23"/>
          <w:b/>
        </w:rPr>
        <w:t xml:space="preserve">10. </w:t>
      </w:r>
      <w:r>
        <w:rPr>
          <w:rFonts w:ascii="Times" w:hAnsi="Times" w:cs="Times"/>
          <w:sz w:val="23"/>
          <w:sz-cs w:val="23"/>
        </w:rPr>
        <w:t xml:space="preserve">The method of claim 1, further comprising computing a running average of specialist response times using an incremental weighted formula whereby new averages are calculated without storing individual referral durations.</w:t>
      </w:r>
    </w:p>
    <w:p>
      <w:pPr>
        <w:ind w:left="720"/>
        <w:spacing w:after="140"/>
      </w:pPr>
      <w:r>
        <w:rPr>
          <w:rFonts w:ascii="Times" w:hAnsi="Times" w:cs="Times"/>
          <w:sz w:val="23"/>
          <w:sz-cs w:val="23"/>
          <w:b/>
        </w:rPr>
        <w:t xml:space="preserve">11. </w:t>
      </w:r>
      <w:r>
        <w:rPr>
          <w:rFonts w:ascii="Times" w:hAnsi="Times" w:cs="Times"/>
          <w:sz w:val="23"/>
          <w:sz-cs w:val="23"/>
        </w:rPr>
        <w:t xml:space="preserve">The method of claim 1, further comprising maintaining specialist preference memories using frequency-weighted counting per medical specialty, deriving a preferred specialist ranking from accumulated referral counts.</w:t>
      </w:r>
    </w:p>
    <w:p>
      <w:pPr>
        <w:ind w:left="720"/>
        <w:spacing w:after="140"/>
      </w:pPr>
      <w:r>
        <w:rPr>
          <w:rFonts w:ascii="Times" w:hAnsi="Times" w:cs="Times"/>
          <w:sz w:val="23"/>
          <w:sz-cs w:val="23"/>
          <w:b/>
        </w:rPr>
        <w:t xml:space="preserve">12. </w:t>
      </w:r>
      <w:r>
        <w:rPr>
          <w:rFonts w:ascii="Times" w:hAnsi="Times" w:cs="Times"/>
          <w:sz w:val="23"/>
          <w:sz-cs w:val="23"/>
        </w:rPr>
        <w:t xml:space="preserve">The method of claim 1, wherein the atomic update employs a PostgreSQL remote procedure call executing read-modify-write within a single database transaction, with fallback to application-level read-modify-write when the procedure is unavailable.</w:t>
      </w:r>
    </w:p>
    <w:p>
      <w:pPr>
        <w:ind w:left="720"/>
        <w:spacing w:after="140"/>
      </w:pPr>
      <w:r>
        <w:rPr>
          <w:rFonts w:ascii="Times" w:hAnsi="Times" w:cs="Times"/>
          <w:sz w:val="23"/>
          <w:sz-cs w:val="23"/>
          <w:b/>
        </w:rPr>
        <w:t xml:space="preserve">13. </w:t>
      </w:r>
      <w:r>
        <w:rPr>
          <w:rFonts w:ascii="Times" w:hAnsi="Times" w:cs="Times"/>
          <w:sz w:val="23"/>
          <w:sz-cs w:val="23"/>
        </w:rPr>
        <w:t xml:space="preserve">The method of claim 2, wherein the claim token comprises an 8-character fragment of a cryptographically random UUID with a configurable expiration period stored in association with a specialist directory entry identifier and a referral identifier.</w:t>
      </w:r>
    </w:p>
    <w:p>
      <w:pPr>
        <w:ind w:left="720"/>
        <w:spacing w:after="140"/>
      </w:pPr>
      <w:r>
        <w:rPr>
          <w:rFonts w:ascii="Times" w:hAnsi="Times" w:cs="Times"/>
          <w:sz w:val="23"/>
          <w:sz-cs w:val="23"/>
          <w:b/>
        </w:rPr>
        <w:t xml:space="preserve">14. </w:t>
      </w:r>
      <w:r>
        <w:rPr>
          <w:rFonts w:ascii="Times" w:hAnsi="Times" w:cs="Times"/>
          <w:sz w:val="23"/>
          <w:sz-cs w:val="23"/>
        </w:rPr>
        <w:t xml:space="preserve">The system of claim 3, wherein the pre-computed referral counts include per-status tallies injected with an explicit instruction to the language model to use provided counts rather than self-counting, preventing numerical hallucination.</w:t>
      </w:r>
    </w:p>
    <w:p>
      <w:pPr>
        <w:ind w:left="720"/>
        <w:spacing w:after="140"/>
      </w:pPr>
      <w:r>
        <w:rPr>
          <w:rFonts w:ascii="Times" w:hAnsi="Times" w:cs="Times"/>
          <w:sz w:val="23"/>
          <w:sz-cs w:val="23"/>
          <w:b/>
        </w:rPr>
        <w:t xml:space="preserve">15. </w:t>
      </w:r>
      <w:r>
        <w:rPr>
          <w:rFonts w:ascii="Times" w:hAnsi="Times" w:cs="Times"/>
          <w:sz w:val="23"/>
          <w:sz-cs w:val="23"/>
        </w:rPr>
        <w:t xml:space="preserve">The system of claim 3, further comprising a temporal reference computation injecting current date, day-of-week, and a forward calendar mapping into the system prompt enabling the language model to resolve natural language date expressions.</w:t>
      </w:r>
    </w:p>
    <w:p>
      <w:pPr>
        <w:ind w:left="720"/>
        <w:spacing w:after="140"/>
      </w:pPr>
      <w:r>
        <w:rPr>
          <w:rFonts w:ascii="Times" w:hAnsi="Times" w:cs="Times"/>
          <w:sz w:val="23"/>
          <w:sz-cs w:val="23"/>
          <w:b/>
        </w:rPr>
        <w:t xml:space="preserve">16. </w:t>
      </w:r>
      <w:r>
        <w:rPr>
          <w:rFonts w:ascii="Times" w:hAnsi="Times" w:cs="Times"/>
          <w:sz w:val="23"/>
          <w:sz-cs w:val="23"/>
        </w:rPr>
        <w:t xml:space="preserve">The method of claim 5, wherein the rate-limit-aware action gating enforces a minimum 24-hour interval between summary request operations, displaying a countdown showing remaining hours until the next request is permitted.</w:t>
      </w:r>
    </w:p>
    <w:p>
      <w:pPr>
        <w:ind w:left="720"/>
        <w:spacing w:after="140"/>
      </w:pPr>
      <w:r>
        <w:rPr>
          <w:rFonts w:ascii="Times" w:hAnsi="Times" w:cs="Times"/>
          <w:sz w:val="23"/>
          <w:sz-cs w:val="23"/>
          <w:b/>
        </w:rPr>
        <w:t xml:space="preserve">17. </w:t>
      </w:r>
      <w:r>
        <w:rPr>
          <w:rFonts w:ascii="Times" w:hAnsi="Times" w:cs="Times"/>
          <w:sz w:val="23"/>
          <w:sz-cs w:val="23"/>
        </w:rPr>
        <w:t xml:space="preserve">The method of claim 5, further comprising a session-persistent dismissal mechanism storing dismissed nudge identifiers in browser session storage keyed by referral identifier, with a restoration button appearing when the total pre-dismissal nudge count exceeds zero and all visible nudges have been dismissed.</w:t>
      </w:r>
    </w:p>
    <w:p>
      <w:pPr>
        <w:ind w:left="720"/>
        <w:spacing w:after="140"/>
      </w:pPr>
      <w:r>
        <w:rPr>
          <w:rFonts w:ascii="Times" w:hAnsi="Times" w:cs="Times"/>
          <w:sz w:val="23"/>
          <w:sz-cs w:val="23"/>
          <w:b/>
        </w:rPr>
        <w:t xml:space="preserve">18. </w:t>
      </w:r>
      <w:r>
        <w:rPr>
          <w:rFonts w:ascii="Times" w:hAnsi="Times" w:cs="Times"/>
          <w:sz w:val="23"/>
          <w:sz-cs w:val="23"/>
        </w:rPr>
        <w:t xml:space="preserve">The architecture of claim 6, wherein the serverless-optimized token caching stores OAuth access tokens in a database table with a safety buffer of at least five minutes before token expiry to account for serverless cold-start timing.</w:t>
      </w:r>
    </w:p>
    <w:p>
      <w:pPr>
        <w:ind w:left="720"/>
        <w:spacing w:after="140"/>
      </w:pPr>
      <w:r>
        <w:rPr>
          <w:rFonts w:ascii="Times" w:hAnsi="Times" w:cs="Times"/>
          <w:sz w:val="23"/>
          <w:sz-cs w:val="23"/>
          <w:b/>
        </w:rPr>
        <w:t xml:space="preserve">19. </w:t>
      </w:r>
      <w:r>
        <w:rPr>
          <w:rFonts w:ascii="Times" w:hAnsi="Times" w:cs="Times"/>
          <w:sz w:val="23"/>
          <w:sz-cs w:val="23"/>
        </w:rPr>
        <w:t xml:space="preserve">The method of claim 8, further comprising geocoding the user’s location preference via an internal geocoding service, computing haversine distances between the geocoded coordinates and specialist practice coordinates, and applying city-name boosting where exact city matches in the specialist address receive priority ranking.</w:t>
      </w:r>
    </w:p>
    <w:p>
      <w:pPr>
        <w:ind w:left="720"/>
        <w:spacing w:after="140"/>
      </w:pPr>
      <w:r>
        <w:rPr>
          <w:rFonts w:ascii="Times" w:hAnsi="Times" w:cs="Times"/>
          <w:sz w:val="23"/>
          <w:sz-cs w:val="23"/>
          <w:b/>
        </w:rPr>
        <w:t xml:space="preserve">20. </w:t>
      </w:r>
      <w:r>
        <w:rPr>
          <w:rFonts w:ascii="Times" w:hAnsi="Times" w:cs="Times"/>
          <w:sz w:val="23"/>
          <w:sz-cs w:val="23"/>
        </w:rPr>
        <w:t xml:space="preserve">The system of claim 9, wherein the composite performance score assigns configurable weights of approximately 40% to referral completion rate, 30% to average time-to-specialist, and 30% to loop closure rate, and the leaderboard applies visual tier indicators distinguishing top performers, middle performers, and practices needing attention.</w:t>
      </w:r>
    </w:p>
    <w:p>
      <w:pPr/>
      <w:r>
        <w:rPr>
          <w:rFonts w:ascii="Times" w:hAnsi="Times" w:cs="Times"/>
          <w:sz w:val="24"/>
          <w:sz-cs w:val="24"/>
        </w:rPr>
        <w:t xml:space="preserve"/>
        <w:br w:type="page"/>
        <w:t xml:space="preserve"/>
      </w:r>
    </w:p>
    <w:p>
      <w:pPr>
        <w:spacing w:before="260" w:after="140"/>
      </w:pPr>
      <w:r>
        <w:rPr>
          <w:rFonts w:ascii="Times New Roman" w:hAnsi="Times New Roman" w:cs="Times New Roman"/>
          <w:sz w:val="27"/>
          <w:sz-cs w:val="27"/>
          <w:b/>
        </w:rPr>
        <w:t xml:space="preserve">BRIEF DESCRIPTION OF THE DRAWINGS</w:t>
      </w:r>
    </w:p>
    <w:p>
      <w:pPr>
        <w:ind w:left="720" w:first-line="-720"/>
        <w:spacing w:after="100"/>
      </w:pPr>
      <w:r>
        <w:rPr>
          <w:rFonts w:ascii="Times" w:hAnsi="Times" w:cs="Times"/>
          <w:sz w:val="23"/>
          <w:sz-cs w:val="23"/>
          <w:b/>
        </w:rPr>
        <w:t xml:space="preserve"/>
        <w:tab/>
        <w:t xml:space="preserve">•</w:t>
        <w:tab/>
        <w:t xml:space="preserve">FIG. 1 </w:t>
      </w:r>
      <w:r>
        <w:rPr>
          <w:rFonts w:ascii="Times" w:hAnsi="Times" w:cs="Times"/>
          <w:sz w:val="23"/>
          <w:sz-cs w:val="23"/>
        </w:rPr>
        <w:t xml:space="preserve">System architecture diagram showing PCP interface, specialist interface, corporate console, AI agent, memory subsystem, fax-bridge, EHR adapters, notification engine, task scheduler, and database with row-level security.</w:t>
      </w:r>
    </w:p>
    <w:p>
      <w:pPr>
        <w:ind w:left="720" w:first-line="-720"/>
        <w:spacing w:after="100"/>
      </w:pPr>
      <w:r>
        <w:rPr>
          <w:rFonts w:ascii="Times" w:hAnsi="Times" w:cs="Times"/>
          <w:sz w:val="23"/>
          <w:sz-cs w:val="23"/>
          <w:b/>
        </w:rPr>
        <w:t xml:space="preserve"/>
        <w:tab/>
        <w:t xml:space="preserve">•</w:t>
        <w:tab/>
        <w:t xml:space="preserve">FIG. 2 </w:t>
      </w:r>
      <w:r>
        <w:rPr>
          <w:rFonts w:ascii="Times" w:hAnsi="Times" w:cs="Times"/>
          <w:sz w:val="23"/>
          <w:sz-cs w:val="23"/>
        </w:rPr>
        <w:t xml:space="preserve">Adaptive memory data flow: event detection triggers (referral created, loop closed, incomplete), fire-and-forget async dispatch, atomic upsert with RPC fallback, four memory type stores, and read-path context-aware query to system prompt injection.</w:t>
      </w:r>
    </w:p>
    <w:p>
      <w:pPr>
        <w:ind w:left="720" w:first-line="-720"/>
        <w:spacing w:after="100"/>
      </w:pPr>
      <w:r>
        <w:rPr>
          <w:rFonts w:ascii="Times" w:hAnsi="Times" w:cs="Times"/>
          <w:sz w:val="23"/>
          <w:sz-cs w:val="23"/>
          <w:b/>
        </w:rPr>
        <w:t xml:space="preserve"/>
        <w:tab/>
        <w:t xml:space="preserve">•</w:t>
        <w:tab/>
        <w:t xml:space="preserve">FIG. 3 </w:t>
      </w:r>
      <w:r>
        <w:rPr>
          <w:rFonts w:ascii="Times" w:hAnsi="Times" w:cs="Times"/>
          <w:sz w:val="23"/>
          <w:sz-cs w:val="23"/>
        </w:rPr>
        <w:t xml:space="preserve">Fax-bridge sequence: PCP sends referral </w:t>
      </w:r>
      <w:r>
        <w:rPr>
          <w:rFonts w:ascii="Times New Roman" w:hAnsi="Times New Roman" w:cs="Times New Roman"/>
          <w:sz w:val="23"/>
          <w:sz-cs w:val="23"/>
        </w:rPr>
        <w:t xml:space="preserve">→</w:t>
      </w:r>
      <w:r>
        <w:rPr>
          <w:rFonts w:ascii="Times" w:hAnsi="Times" w:cs="Times"/>
          <w:sz w:val="23"/>
          <w:sz-cs w:val="23"/>
        </w:rPr>
        <w:t xml:space="preserve"> token generated </w:t>
      </w:r>
      <w:r>
        <w:rPr>
          <w:rFonts w:ascii="Times New Roman" w:hAnsi="Times New Roman" w:cs="Times New Roman"/>
          <w:sz w:val="23"/>
          <w:sz-cs w:val="23"/>
        </w:rPr>
        <w:t xml:space="preserve">→</w:t>
      </w:r>
      <w:r>
        <w:rPr>
          <w:rFonts w:ascii="Times" w:hAnsi="Times" w:cs="Times"/>
          <w:sz w:val="23"/>
          <w:sz-cs w:val="23"/>
        </w:rPr>
        <w:t xml:space="preserve"> PDF rendered with claim URL </w:t>
      </w:r>
      <w:r>
        <w:rPr>
          <w:rFonts w:ascii="Times New Roman" w:hAnsi="Times New Roman" w:cs="Times New Roman"/>
          <w:sz w:val="23"/>
          <w:sz-cs w:val="23"/>
        </w:rPr>
        <w:t xml:space="preserve">→</w:t>
      </w:r>
      <w:r>
        <w:rPr>
          <w:rFonts w:ascii="Times" w:hAnsi="Times" w:cs="Times"/>
          <w:sz w:val="23"/>
          <w:sz-cs w:val="23"/>
        </w:rPr>
        <w:t xml:space="preserve"> fax transmitted </w:t>
      </w:r>
      <w:r>
        <w:rPr>
          <w:rFonts w:ascii="Times New Roman" w:hAnsi="Times New Roman" w:cs="Times New Roman"/>
          <w:sz w:val="23"/>
          <w:sz-cs w:val="23"/>
        </w:rPr>
        <w:t xml:space="preserve">→</w:t>
      </w:r>
      <w:r>
        <w:rPr>
          <w:rFonts w:ascii="Times" w:hAnsi="Times" w:cs="Times"/>
          <w:sz w:val="23"/>
          <w:sz-cs w:val="23"/>
        </w:rPr>
        <w:t xml:space="preserve"> specialist receives </w:t>
      </w:r>
      <w:r>
        <w:rPr>
          <w:rFonts w:ascii="Times New Roman" w:hAnsi="Times New Roman" w:cs="Times New Roman"/>
          <w:sz w:val="23"/>
          <w:sz-cs w:val="23"/>
        </w:rPr>
        <w:t xml:space="preserve">→</w:t>
      </w:r>
      <w:r>
        <w:rPr>
          <w:rFonts w:ascii="Times" w:hAnsi="Times" w:cs="Times"/>
          <w:sz w:val="23"/>
          <w:sz-cs w:val="23"/>
        </w:rPr>
        <w:t xml:space="preserve"> clicks claim URL </w:t>
      </w:r>
      <w:r>
        <w:rPr>
          <w:rFonts w:ascii="Times New Roman" w:hAnsi="Times New Roman" w:cs="Times New Roman"/>
          <w:sz w:val="23"/>
          <w:sz-cs w:val="23"/>
        </w:rPr>
        <w:t xml:space="preserve">→</w:t>
      </w:r>
      <w:r>
        <w:rPr>
          <w:rFonts w:ascii="Times" w:hAnsi="Times" w:cs="Times"/>
          <w:sz w:val="23"/>
          <w:sz-cs w:val="23"/>
        </w:rPr>
        <w:t xml:space="preserve"> token validated </w:t>
      </w:r>
      <w:r>
        <w:rPr>
          <w:rFonts w:ascii="Times New Roman" w:hAnsi="Times New Roman" w:cs="Times New Roman"/>
          <w:sz w:val="23"/>
          <w:sz-cs w:val="23"/>
        </w:rPr>
        <w:t xml:space="preserve">→</w:t>
      </w:r>
      <w:r>
        <w:rPr>
          <w:rFonts w:ascii="Times" w:hAnsi="Times" w:cs="Times"/>
          <w:sz w:val="23"/>
          <w:sz-cs w:val="23"/>
        </w:rPr>
        <w:t xml:space="preserve"> account created and linked </w:t>
      </w:r>
      <w:r>
        <w:rPr>
          <w:rFonts w:ascii="Times New Roman" w:hAnsi="Times New Roman" w:cs="Times New Roman"/>
          <w:sz w:val="23"/>
          <w:sz-cs w:val="23"/>
        </w:rPr>
        <w:t xml:space="preserve">→</w:t>
      </w:r>
      <w:r>
        <w:rPr>
          <w:rFonts w:ascii="Times" w:hAnsi="Times" w:cs="Times"/>
          <w:sz w:val="23"/>
          <w:sz-cs w:val="23"/>
        </w:rPr>
        <w:t xml:space="preserve"> specialist on platform.</w:t>
      </w:r>
    </w:p>
    <w:p>
      <w:pPr>
        <w:ind w:left="720" w:first-line="-720"/>
        <w:spacing w:after="100"/>
      </w:pPr>
      <w:r>
        <w:rPr>
          <w:rFonts w:ascii="Times" w:hAnsi="Times" w:cs="Times"/>
          <w:sz w:val="23"/>
          <w:sz-cs w:val="23"/>
          <w:b/>
        </w:rPr>
        <w:t xml:space="preserve"/>
        <w:tab/>
        <w:t xml:space="preserve">•</w:t>
        <w:tab/>
        <w:t xml:space="preserve">FIG. 4 </w:t>
      </w:r>
      <w:r>
        <w:rPr>
          <w:rFonts w:ascii="Times" w:hAnsi="Times" w:cs="Times"/>
          <w:sz w:val="23"/>
          <w:sz-cs w:val="23"/>
        </w:rPr>
        <w:t xml:space="preserve">Multi-context system prompt construction: user role determination </w:t>
      </w:r>
      <w:r>
        <w:rPr>
          <w:rFonts w:ascii="Times New Roman" w:hAnsi="Times New Roman" w:cs="Times New Roman"/>
          <w:sz w:val="23"/>
          <w:sz-cs w:val="23"/>
        </w:rPr>
        <w:t xml:space="preserve">→</w:t>
      </w:r>
      <w:r>
        <w:rPr>
          <w:rFonts w:ascii="Times" w:hAnsi="Times" w:cs="Times"/>
          <w:sz w:val="23"/>
          <w:sz-cs w:val="23"/>
        </w:rPr>
        <w:t xml:space="preserve"> view context branch (dashboard/referral/corporate) </w:t>
      </w:r>
      <w:r>
        <w:rPr>
          <w:rFonts w:ascii="Times New Roman" w:hAnsi="Times New Roman" w:cs="Times New Roman"/>
          <w:sz w:val="23"/>
          <w:sz-cs w:val="23"/>
        </w:rPr>
        <w:t xml:space="preserve">→</w:t>
      </w:r>
      <w:r>
        <w:rPr>
          <w:rFonts w:ascii="Times" w:hAnsi="Times" w:cs="Times"/>
          <w:sz w:val="23"/>
          <w:sz-cs w:val="23"/>
        </w:rPr>
        <w:t xml:space="preserve"> data prefetch </w:t>
      </w:r>
      <w:r>
        <w:rPr>
          <w:rFonts w:ascii="Times New Roman" w:hAnsi="Times New Roman" w:cs="Times New Roman"/>
          <w:sz w:val="23"/>
          <w:sz-cs w:val="23"/>
        </w:rPr>
        <w:t xml:space="preserve">→</w:t>
      </w:r>
      <w:r>
        <w:rPr>
          <w:rFonts w:ascii="Times" w:hAnsi="Times" w:cs="Times"/>
          <w:sz w:val="23"/>
          <w:sz-cs w:val="23"/>
        </w:rPr>
        <w:t xml:space="preserve"> prompt assembly from 15+ conditional blocks </w:t>
      </w:r>
      <w:r>
        <w:rPr>
          <w:rFonts w:ascii="Times New Roman" w:hAnsi="Times New Roman" w:cs="Times New Roman"/>
          <w:sz w:val="23"/>
          <w:sz-cs w:val="23"/>
        </w:rPr>
        <w:t xml:space="preserve">→</w:t>
      </w:r>
      <w:r>
        <w:rPr>
          <w:rFonts w:ascii="Times" w:hAnsi="Times" w:cs="Times"/>
          <w:sz w:val="23"/>
          <w:sz-cs w:val="23"/>
        </w:rPr>
        <w:t xml:space="preserve"> tool registration </w:t>
      </w:r>
      <w:r>
        <w:rPr>
          <w:rFonts w:ascii="Times New Roman" w:hAnsi="Times New Roman" w:cs="Times New Roman"/>
          <w:sz w:val="23"/>
          <w:sz-cs w:val="23"/>
        </w:rPr>
        <w:t xml:space="preserve">→</w:t>
      </w:r>
      <w:r>
        <w:rPr>
          <w:rFonts w:ascii="Times" w:hAnsi="Times" w:cs="Times"/>
          <w:sz w:val="23"/>
          <w:sz-cs w:val="23"/>
        </w:rPr>
        <w:t xml:space="preserve"> LLM invocation </w:t>
      </w:r>
      <w:r>
        <w:rPr>
          <w:rFonts w:ascii="Times New Roman" w:hAnsi="Times New Roman" w:cs="Times New Roman"/>
          <w:sz w:val="23"/>
          <w:sz-cs w:val="23"/>
        </w:rPr>
        <w:t xml:space="preserve">→</w:t>
      </w:r>
      <w:r>
        <w:rPr>
          <w:rFonts w:ascii="Times" w:hAnsi="Times" w:cs="Times"/>
          <w:sz w:val="23"/>
          <w:sz-cs w:val="23"/>
        </w:rPr>
        <w:t xml:space="preserve"> response parsing.</w:t>
      </w:r>
    </w:p>
    <w:p>
      <w:pPr>
        <w:ind w:left="720" w:first-line="-720"/>
        <w:spacing w:after="100"/>
      </w:pPr>
      <w:r>
        <w:rPr>
          <w:rFonts w:ascii="Times" w:hAnsi="Times" w:cs="Times"/>
          <w:sz w:val="23"/>
          <w:sz-cs w:val="23"/>
          <w:b/>
        </w:rPr>
        <w:t xml:space="preserve"/>
        <w:tab/>
        <w:t xml:space="preserve">•</w:t>
        <w:tab/>
        <w:t xml:space="preserve">FIG. 5 </w:t>
      </w:r>
      <w:r>
        <w:rPr>
          <w:rFonts w:ascii="Times" w:hAnsi="Times" w:cs="Times"/>
          <w:sz w:val="23"/>
          <w:sz-cs w:val="23"/>
        </w:rPr>
        <w:t xml:space="preserve">Referral lifecycle state diagram: new </w:t>
      </w:r>
      <w:r>
        <w:rPr>
          <w:rFonts w:ascii="Times New Roman" w:hAnsi="Times New Roman" w:cs="Times New Roman"/>
          <w:sz w:val="23"/>
          <w:sz-cs w:val="23"/>
        </w:rPr>
        <w:t xml:space="preserve">→</w:t>
      </w:r>
      <w:r>
        <w:rPr>
          <w:rFonts w:ascii="Times" w:hAnsi="Times" w:cs="Times"/>
          <w:sz w:val="23"/>
          <w:sz-cs w:val="23"/>
        </w:rPr>
        <w:t xml:space="preserve"> fax_pending </w:t>
      </w:r>
      <w:r>
        <w:rPr>
          <w:rFonts w:ascii="Times New Roman" w:hAnsi="Times New Roman" w:cs="Times New Roman"/>
          <w:sz w:val="23"/>
          <w:sz-cs w:val="23"/>
        </w:rPr>
        <w:t xml:space="preserve">→</w:t>
      </w:r>
      <w:r>
        <w:rPr>
          <w:rFonts w:ascii="Times" w:hAnsi="Times" w:cs="Times"/>
          <w:sz w:val="23"/>
          <w:sz-cs w:val="23"/>
        </w:rPr>
        <w:t xml:space="preserve"> assigned </w:t>
      </w:r>
      <w:r>
        <w:rPr>
          <w:rFonts w:ascii="Times New Roman" w:hAnsi="Times New Roman" w:cs="Times New Roman"/>
          <w:sz w:val="23"/>
          <w:sz-cs w:val="23"/>
        </w:rPr>
        <w:t xml:space="preserve">→</w:t>
      </w:r>
      <w:r>
        <w:rPr>
          <w:rFonts w:ascii="Times" w:hAnsi="Times" w:cs="Times"/>
          <w:sz w:val="23"/>
          <w:sz-cs w:val="23"/>
        </w:rPr>
        <w:t xml:space="preserve"> scheduled </w:t>
      </w:r>
      <w:r>
        <w:rPr>
          <w:rFonts w:ascii="Times New Roman" w:hAnsi="Times New Roman" w:cs="Times New Roman"/>
          <w:sz w:val="23"/>
          <w:sz-cs w:val="23"/>
        </w:rPr>
        <w:t xml:space="preserve">→</w:t>
      </w:r>
      <w:r>
        <w:rPr>
          <w:rFonts w:ascii="Times" w:hAnsi="Times" w:cs="Times"/>
          <w:sz w:val="23"/>
          <w:sz-cs w:val="23"/>
        </w:rPr>
        <w:t xml:space="preserve"> seen </w:t>
      </w:r>
      <w:r>
        <w:rPr>
          <w:rFonts w:ascii="Times New Roman" w:hAnsi="Times New Roman" w:cs="Times New Roman"/>
          <w:sz w:val="23"/>
          <w:sz-cs w:val="23"/>
        </w:rPr>
        <w:t xml:space="preserve">→</w:t>
      </w:r>
      <w:r>
        <w:rPr>
          <w:rFonts w:ascii="Times" w:hAnsi="Times" w:cs="Times"/>
          <w:sz w:val="23"/>
          <w:sz-cs w:val="23"/>
        </w:rPr>
        <w:t xml:space="preserve"> loop_closed, with proactive notification conditions at new (&gt;3d), assigned (&gt;7d, no appointment), and seen (&gt;5d, no summary).</w:t>
      </w:r>
    </w:p>
    <w:p>
      <w:pPr>
        <w:ind w:left="720" w:first-line="-720"/>
        <w:spacing w:after="100"/>
      </w:pPr>
      <w:r>
        <w:rPr>
          <w:rFonts w:ascii="Times" w:hAnsi="Times" w:cs="Times"/>
          <w:sz w:val="23"/>
          <w:sz-cs w:val="23"/>
          <w:b/>
        </w:rPr>
        <w:t xml:space="preserve"/>
        <w:tab/>
        <w:t xml:space="preserve">•</w:t>
        <w:tab/>
        <w:t xml:space="preserve">FIG. 6 </w:t>
      </w:r>
      <w:r>
        <w:rPr>
          <w:rFonts w:ascii="Times" w:hAnsi="Times" w:cs="Times"/>
          <w:sz w:val="23"/>
          <w:sz-cs w:val="23"/>
        </w:rPr>
        <w:t xml:space="preserve">EHR adapter architecture: canonical EHRAdapter interface </w:t>
      </w:r>
      <w:r>
        <w:rPr>
          <w:rFonts w:ascii="Times New Roman" w:hAnsi="Times New Roman" w:cs="Times New Roman"/>
          <w:sz w:val="23"/>
          <w:sz-cs w:val="23"/>
        </w:rPr>
        <w:t xml:space="preserve">→</w:t>
      </w:r>
      <w:r>
        <w:rPr>
          <w:rFonts w:ascii="Times" w:hAnsi="Times" w:cs="Times"/>
          <w:sz w:val="23"/>
          <w:sz-cs w:val="23"/>
        </w:rPr>
        <w:t xml:space="preserve"> vendor adapters (AthenaAdapter with FHIR R4, eCWAdapter with REST) </w:t>
      </w:r>
      <w:r>
        <w:rPr>
          <w:rFonts w:ascii="Times New Roman" w:hAnsi="Times New Roman" w:cs="Times New Roman"/>
          <w:sz w:val="23"/>
          <w:sz-cs w:val="23"/>
        </w:rPr>
        <w:t xml:space="preserve">→</w:t>
      </w:r>
      <w:r>
        <w:rPr>
          <w:rFonts w:ascii="Times" w:hAnsi="Times" w:cs="Times"/>
          <w:sz w:val="23"/>
          <w:sz-cs w:val="23"/>
        </w:rPr>
        <w:t xml:space="preserve"> orchestrator with token cache </w:t>
      </w:r>
      <w:r>
        <w:rPr>
          <w:rFonts w:ascii="Times New Roman" w:hAnsi="Times New Roman" w:cs="Times New Roman"/>
          <w:sz w:val="23"/>
          <w:sz-cs w:val="23"/>
        </w:rPr>
        <w:t xml:space="preserve">→</w:t>
      </w:r>
      <w:r>
        <w:rPr>
          <w:rFonts w:ascii="Times" w:hAnsi="Times" w:cs="Times"/>
          <w:sz w:val="23"/>
          <w:sz-cs w:val="23"/>
        </w:rPr>
        <w:t xml:space="preserve"> parallel resource fetch </w:t>
      </w:r>
      <w:r>
        <w:rPr>
          <w:rFonts w:ascii="Times New Roman" w:hAnsi="Times New Roman" w:cs="Times New Roman"/>
          <w:sz w:val="23"/>
          <w:sz-cs w:val="23"/>
        </w:rPr>
        <w:t xml:space="preserve">→</w:t>
      </w:r>
      <w:r>
        <w:rPr>
          <w:rFonts w:ascii="Times" w:hAnsi="Times" w:cs="Times"/>
          <w:sz w:val="23"/>
          <w:sz-cs w:val="23"/>
        </w:rPr>
        <w:t xml:space="preserve"> response normalization.</w:t>
      </w:r>
    </w:p>
    <w:p>
      <w:pPr>
        <w:ind w:left="720" w:first-line="-720"/>
        <w:spacing w:after="100"/>
      </w:pPr>
      <w:r>
        <w:rPr>
          <w:rFonts w:ascii="Times" w:hAnsi="Times" w:cs="Times"/>
          <w:sz w:val="23"/>
          <w:sz-cs w:val="23"/>
          <w:b/>
        </w:rPr>
        <w:t xml:space="preserve"/>
        <w:tab/>
        <w:t xml:space="preserve">•</w:t>
        <w:tab/>
        <w:t xml:space="preserve">FIG. 7 </w:t>
      </w:r>
      <w:r>
        <w:rPr>
          <w:rFonts w:ascii="Times" w:hAnsi="Times" w:cs="Times"/>
          <w:sz w:val="23"/>
          <w:sz-cs w:val="23"/>
        </w:rPr>
        <w:t xml:space="preserve">Deferred task flow: user natural language </w:t>
      </w:r>
      <w:r>
        <w:rPr>
          <w:rFonts w:ascii="Times New Roman" w:hAnsi="Times New Roman" w:cs="Times New Roman"/>
          <w:sz w:val="23"/>
          <w:sz-cs w:val="23"/>
        </w:rPr>
        <w:t xml:space="preserve">→</w:t>
      </w:r>
      <w:r>
        <w:rPr>
          <w:rFonts w:ascii="Times" w:hAnsi="Times" w:cs="Times"/>
          <w:sz w:val="23"/>
          <w:sz-cs w:val="23"/>
        </w:rPr>
        <w:t xml:space="preserve"> temporal map injection </w:t>
      </w:r>
      <w:r>
        <w:rPr>
          <w:rFonts w:ascii="Times New Roman" w:hAnsi="Times New Roman" w:cs="Times New Roman"/>
          <w:sz w:val="23"/>
          <w:sz-cs w:val="23"/>
        </w:rPr>
        <w:t xml:space="preserve">→</w:t>
      </w:r>
      <w:r>
        <w:rPr>
          <w:rFonts w:ascii="Times" w:hAnsi="Times" w:cs="Times"/>
          <w:sz w:val="23"/>
          <w:sz-cs w:val="23"/>
        </w:rPr>
        <w:t xml:space="preserve"> LLM date resolution </w:t>
      </w:r>
      <w:r>
        <w:rPr>
          <w:rFonts w:ascii="Times New Roman" w:hAnsi="Times New Roman" w:cs="Times New Roman"/>
          <w:sz w:val="23"/>
          <w:sz-cs w:val="23"/>
        </w:rPr>
        <w:t xml:space="preserve">→</w:t>
      </w:r>
      <w:r>
        <w:rPr>
          <w:rFonts w:ascii="Times" w:hAnsi="Times" w:cs="Times"/>
          <w:sz w:val="23"/>
          <w:sz-cs w:val="23"/>
        </w:rPr>
        <w:t xml:space="preserve"> task persistence </w:t>
      </w:r>
      <w:r>
        <w:rPr>
          <w:rFonts w:ascii="Times New Roman" w:hAnsi="Times New Roman" w:cs="Times New Roman"/>
          <w:sz w:val="23"/>
          <w:sz-cs w:val="23"/>
        </w:rPr>
        <w:t xml:space="preserve">→</w:t>
      </w:r>
      <w:r>
        <w:rPr>
          <w:rFonts w:ascii="Times" w:hAnsi="Times" w:cs="Times"/>
          <w:sz w:val="23"/>
          <w:sz-cs w:val="23"/>
        </w:rPr>
        <w:t xml:space="preserve"> cron execution </w:t>
      </w:r>
      <w:r>
        <w:rPr>
          <w:rFonts w:ascii="Times New Roman" w:hAnsi="Times New Roman" w:cs="Times New Roman"/>
          <w:sz w:val="23"/>
          <w:sz-cs w:val="23"/>
        </w:rPr>
        <w:t xml:space="preserve">→</w:t>
      </w:r>
      <w:r>
        <w:rPr>
          <w:rFonts w:ascii="Times" w:hAnsi="Times" w:cs="Times"/>
          <w:sz w:val="23"/>
          <w:sz-cs w:val="23"/>
        </w:rPr>
        <w:t xml:space="preserve"> timeline event + notification creation.</w:t>
      </w:r>
    </w:p>
    <w:p>
      <w:pPr>
        <w:ind w:left="720" w:first-line="-720"/>
        <w:spacing w:after="100"/>
      </w:pPr>
      <w:r>
        <w:rPr>
          <w:rFonts w:ascii="Times" w:hAnsi="Times" w:cs="Times"/>
          <w:sz w:val="23"/>
          <w:sz-cs w:val="23"/>
          <w:b/>
        </w:rPr>
        <w:t xml:space="preserve"/>
        <w:tab/>
        <w:t xml:space="preserve">•</w:t>
        <w:tab/>
        <w:t xml:space="preserve">FIG. 8 </w:t>
      </w:r>
      <w:r>
        <w:rPr>
          <w:rFonts w:ascii="Times" w:hAnsi="Times" w:cs="Times"/>
          <w:sz w:val="23"/>
          <w:sz-cs w:val="23"/>
        </w:rPr>
        <w:t xml:space="preserve">Corporate aggregation: individual practice databases </w:t>
      </w:r>
      <w:r>
        <w:rPr>
          <w:rFonts w:ascii="Times New Roman" w:hAnsi="Times New Roman" w:cs="Times New Roman"/>
          <w:sz w:val="23"/>
          <w:sz-cs w:val="23"/>
        </w:rPr>
        <w:t xml:space="preserve">→</w:t>
      </w:r>
      <w:r>
        <w:rPr>
          <w:rFonts w:ascii="Times" w:hAnsi="Times" w:cs="Times"/>
          <w:sz w:val="23"/>
          <w:sz-cs w:val="23"/>
        </w:rPr>
        <w:t xml:space="preserve"> aggregation layer (composite scoring, leaderboard ranking, specialist analysis, payer analysis) </w:t>
      </w:r>
      <w:r>
        <w:rPr>
          <w:rFonts w:ascii="Times New Roman" w:hAnsi="Times New Roman" w:cs="Times New Roman"/>
          <w:sz w:val="23"/>
          <w:sz-cs w:val="23"/>
        </w:rPr>
        <w:t xml:space="preserve">→</w:t>
      </w:r>
      <w:r>
        <w:rPr>
          <w:rFonts w:ascii="Times" w:hAnsi="Times" w:cs="Times"/>
          <w:sz w:val="23"/>
          <w:sz-cs w:val="23"/>
        </w:rPr>
        <w:t xml:space="preserve"> corporate console UI + corporate AI agent with full network context.</w:t>
      </w:r>
    </w:p>
    <w:p>
      <w:pPr>
        <w:spacing w:after="140"/>
      </w:pPr>
      <w:r>
        <w:rPr>
          <w:rFonts w:ascii="Times" w:hAnsi="Times" w:cs="Times"/>
          <w:sz w:val="21"/>
          <w:sz-cs w:val="21"/>
          <w:i/>
          <w:color w:val="777777"/>
        </w:rPr>
        <w:t xml:space="preserve">Note: Formal drawings will be prepared and filed with the non-provisional application. The above descriptions define content and purpose for the provisional filing.</w:t>
      </w:r>
    </w:p>
    <w:p>
      <w:pPr>
        <w:spacing w:before="260" w:after="140"/>
      </w:pPr>
      <w:r>
        <w:rPr>
          <w:rFonts w:ascii="Times New Roman" w:hAnsi="Times New Roman" w:cs="Times New Roman"/>
          <w:sz w:val="27"/>
          <w:sz-cs w:val="27"/>
          <w:b/>
        </w:rPr>
        <w:t xml:space="preserve">ALTERNATIVE EMBODIMENTS</w:t>
      </w:r>
    </w:p>
    <w:p>
      <w:pPr>
        <w:spacing w:after="140"/>
      </w:pPr>
      <w:r>
        <w:rPr>
          <w:rFonts w:ascii="Times" w:hAnsi="Times" w:cs="Times"/>
          <w:sz w:val="23"/>
          <w:sz-cs w:val="23"/>
        </w:rPr>
        <w:t xml:space="preserve">It will be appreciated by those skilled in the art that the present invention may be embodied in numerous alternative forms without departing from its essential characteristics. The specific computing platforms, programming languages, database systems, cloud hosting providers, and AI model providers described herein represent preferred implementations and are not intended to limit the scope of the claims. For example, the web application layer may be implemented using any modern web framework including but not limited to React, Angular, Vue.js, Svelte, or server-rendered alternatives. The database layer may employ any relational or document database system providing equivalent access control capabilities, including MySQL, Microsoft SQL Server, MongoDB with field-level access control, or DynamoDB with fine-grained access policies. The AI agent may utilize any large language model or ensemble of models capable of tool use and structured output, whether accessed via cloud API, deployed on-premises, or run as edge inference. The fax transmission mechanism may employ any facsimile delivery method including traditional PSTN fax, internet fax (T.38), or fax-over-IP services. The EHR adapter pattern applies to any electronic health record system exposing programmatic interfaces, regardless of protocol (FHIR, HL7v2, proprietary REST, SOAP). The memory storage mechanism may employ any persistent data store capable of atomic read-modify-write operations, including key-value stores, document databases, or in-memory databases with persistence. Translation of the described architecture to different programming languages, server frameworks, database engines, cloud platforms, or AI model providers while maintaining the functional relationships and data flows described herein falls within the scope of the present invention.</w:t>
      </w:r>
    </w:p>
    <w:p>
      <w:pPr>
        <w:spacing w:before="260" w:after="140"/>
      </w:pPr>
      <w:r>
        <w:rPr>
          <w:rFonts w:ascii="Times New Roman" w:hAnsi="Times New Roman" w:cs="Times New Roman"/>
          <w:sz w:val="27"/>
          <w:sz-cs w:val="27"/>
          <w:b/>
        </w:rPr>
        <w:t xml:space="preserve">PRIORITY CLAIM</w:t>
      </w:r>
    </w:p>
    <w:p>
      <w:pPr>
        <w:spacing w:after="140"/>
      </w:pPr>
      <w:r>
        <w:rPr>
          <w:rFonts w:ascii="Times" w:hAnsi="Times" w:cs="Times"/>
          <w:sz w:val="23"/>
          <w:sz-cs w:val="23"/>
        </w:rPr>
        <w:t xml:space="preserve">This provisional application establishes a priority date of March 27, 2026 for all disclosed subject matter. A non-provisional utility patent application claiming benefit under 35 U.S.C. §119(e) is intended within twelve months.</w:t>
      </w:r>
    </w:p>
    <w:p>
      <w:pPr>
        <w:spacing w:after="140"/>
      </w:pPr>
      <w:r>
        <w:rPr>
          <w:rFonts w:ascii="Times" w:hAnsi="Times" w:cs="Times"/>
          <w:sz w:val="23"/>
          <w:sz-cs w:val="23"/>
        </w:rPr>
        <w:t xml:space="preserve">The foregoing description is illustrative and not exhaustive. Many modifications and variations are possible. The embodiments were chosen to best explain the invention’s principles and practical applications, enabling others skilled in the art to utilize the invention with modifications suited to particular uses.</w:t>
      </w:r>
    </w:p>
    <w:sectPr>
      <w:pgSz w:w="12240" w:h="15840"/>
      <w:pgMar w:top="1200" w:right="1200" w:bottom="1200" w:left="12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coreProperties>
</file>

<file path=docProps/meta.xml><?xml version="1.0" encoding="utf-8"?>
<meta xmlns="http://schemas.apple.com/cocoa/2006/metadata">
  <generator>CocoaOOXMLWriter/2575.7</generator>
</meta>
</file>